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282"/>
      </w:tblGrid>
      <w:tr>
        <w:tc>
          <w:tcPr>
            <w:tcW w:type="dxa" w:w="10282"/>
            <w:shd w:fill="182033"/>
            <w:tcMar>
              <w:top w:w="260" w:type="dxa"/>
              <w:start w:w="260" w:type="dxa"/>
              <w:bottom w:w="260" w:type="dxa"/>
              <w:end w:w="260" w:type="dxa"/>
            </w:tcMar>
          </w:tcPr>
          <w:p>
            <w:r>
              <w:rPr>
                <w:rFonts w:ascii="Arial" w:hAnsi="Arial" w:eastAsia="Arial"/>
                <w:b/>
                <w:i w:val="0"/>
                <w:color w:val="FFFFFF"/>
                <w:sz w:val="26"/>
              </w:rPr>
              <w:t>APAYA</w:t>
            </w:r>
          </w:p>
          <w:p>
            <w:pPr>
              <w:spacing w:before="680" w:after="160"/>
            </w:pPr>
            <w:r>
              <w:rPr>
                <w:rFonts w:ascii="Arial" w:hAnsi="Arial" w:eastAsia="Arial"/>
                <w:b/>
                <w:i w:val="0"/>
                <w:color w:val="FFFFFF"/>
                <w:sz w:val="60"/>
              </w:rPr>
              <w:t>Social Media</w:t>
              <w:br/>
              <w:t>Management Contract</w:t>
            </w:r>
          </w:p>
          <w:p>
            <w:pPr>
              <w:spacing w:after="500"/>
            </w:pPr>
            <w:r>
              <w:rPr>
                <w:rFonts w:ascii="Arial" w:hAnsi="Arial" w:eastAsia="Arial"/>
                <w:b w:val="0"/>
                <w:i w:val="0"/>
                <w:color w:val="E6E9EF"/>
                <w:sz w:val="22"/>
              </w:rPr>
              <w:t>Editable agreement, scope schedule, responsibility matrix, approval rules, and offboarding plan</w:t>
            </w:r>
          </w:p>
          <w:p>
            <w:r>
              <w:rPr>
                <w:rFonts w:ascii="Arial" w:hAnsi="Arial" w:eastAsia="Arial"/>
                <w:b/>
                <w:i w:val="0"/>
                <w:color w:val="D9B3FF"/>
                <w:sz w:val="16"/>
              </w:rPr>
              <w:t>2026 TEMPLATE  /  REQUIRES LOCAL ATTORNEY REVIEW</w:t>
            </w:r>
          </w:p>
        </w:tc>
      </w:tr>
    </w:tbl>
    <w:p/>
    <w:tbl>
      <w:tblPr>
        <w:tblW w:type="auto" w:w="0"/>
        <w:tblLayout w:type="fixed"/>
        <w:tblLook w:firstColumn="1" w:firstRow="1" w:lastColumn="0" w:lastRow="0" w:noHBand="0" w:noVBand="1" w:val="04A0"/>
      </w:tblPr>
      <w:tblGrid>
        <w:gridCol w:w="10282"/>
      </w:tblGrid>
      <w:tr>
        <w:tc>
          <w:tcPr>
            <w:tcW w:type="dxa" w:w="10282"/>
            <w:shd w:fill="FFF4D6"/>
            <w:tcMar>
              <w:top w:w="150" w:type="dxa"/>
              <w:start w:w="150" w:type="dxa"/>
              <w:bottom w:w="150" w:type="dxa"/>
              <w:end w:w="150" w:type="dxa"/>
            </w:tcMar>
          </w:tcPr>
          <w:p>
            <w:pPr>
              <w:spacing w:after="60"/>
            </w:pPr>
            <w:r>
              <w:rPr>
                <w:rFonts w:ascii="Arial" w:hAnsi="Arial" w:eastAsia="Arial"/>
                <w:b/>
                <w:i w:val="0"/>
                <w:color w:val="7216A8"/>
                <w:sz w:val="16"/>
              </w:rPr>
              <w:t>IMPORTANT</w:t>
            </w:r>
          </w:p>
          <w:p>
            <w:pPr>
              <w:spacing w:after="0"/>
            </w:pPr>
            <w:r>
              <w:rPr>
                <w:rFonts w:ascii="Arial" w:hAnsi="Arial" w:eastAsia="Arial"/>
                <w:b w:val="0"/>
                <w:i w:val="0"/>
                <w:color w:val="182033"/>
                <w:sz w:val="17"/>
              </w:rPr>
              <w:t>This is a general educational starting point, not legal advice. Replace every bracketed field, remove inapplicable options, and have a licensed attorney in the relevant jurisdiction review the complete agreement before anyone signs.</w:t>
            </w:r>
          </w:p>
        </w:tc>
      </w:tr>
    </w:tbl>
    <w:p>
      <w:pPr>
        <w:spacing w:after="0"/>
      </w:pPr>
    </w:p>
    <w:p>
      <w:pPr>
        <w:spacing w:before="240"/>
      </w:pPr>
      <w:r>
        <w:rPr>
          <w:rFonts w:ascii="Arial" w:hAnsi="Arial" w:eastAsia="Arial"/>
          <w:b/>
          <w:i w:val="0"/>
          <w:color w:val="586272"/>
          <w:sz w:val="16"/>
        </w:rPr>
        <w:t>Prepared for</w:t>
      </w:r>
    </w:p>
    <w:p>
      <w:r>
        <w:rPr>
          <w:rFonts w:ascii="Arial" w:hAnsi="Arial" w:eastAsia="Arial"/>
          <w:b/>
          <w:i w:val="0"/>
          <w:color w:val="182033"/>
          <w:sz w:val="36"/>
        </w:rPr>
        <w:t>[CLIENT LEGAL NAME]</w:t>
      </w:r>
    </w:p>
    <w:p>
      <w:r>
        <w:rPr>
          <w:rFonts w:ascii="Arial" w:hAnsi="Arial" w:eastAsia="Arial"/>
          <w:b w:val="0"/>
          <w:i w:val="0"/>
          <w:color w:val="586272"/>
          <w:sz w:val="18"/>
        </w:rPr>
        <w:t>Prepared by  [PROVIDER LEGAL NAME]    •    Effective  [DATE]</w:t>
      </w:r>
    </w:p>
    <w:p>
      <w:r>
        <w:br w:type="page"/>
      </w:r>
    </w:p>
    <w:p>
      <w:pPr>
        <w:keepNext/>
        <w:spacing w:before="300" w:after="120"/>
      </w:pPr>
      <w:r>
        <w:rPr>
          <w:rFonts w:ascii="Arial" w:hAnsi="Arial" w:eastAsia="Arial"/>
          <w:b/>
          <w:i w:val="0"/>
          <w:color w:val="A100FF"/>
          <w:sz w:val="17"/>
        </w:rPr>
        <w:t>BEFORE SIGNING</w:t>
      </w:r>
    </w:p>
    <w:p>
      <w:pPr>
        <w:keepNext/>
        <w:spacing w:after="120"/>
      </w:pPr>
      <w:r>
        <w:rPr>
          <w:rFonts w:ascii="Arial" w:hAnsi="Arial" w:eastAsia="Arial"/>
          <w:b/>
          <w:i w:val="0"/>
          <w:color w:val="182033"/>
          <w:sz w:val="48"/>
        </w:rPr>
        <w:t>How to use this template</w:t>
      </w:r>
    </w:p>
    <w:p>
      <w:pPr>
        <w:keepNext/>
        <w:spacing w:after="240"/>
      </w:pPr>
      <w:r>
        <w:rPr>
          <w:rFonts w:ascii="Arial" w:hAnsi="Arial" w:eastAsia="Arial"/>
          <w:b w:val="0"/>
          <w:i w:val="0"/>
          <w:color w:val="586272"/>
          <w:sz w:val="21"/>
        </w:rPr>
        <w:t>Complete the operational details first. Counsel can then focus on the choices that depend on jurisdiction and risk.</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tbl>
      <w:tblPr>
        <w:tblW w:type="auto" w:w="0"/>
        <w:tblLayout w:type="fixed"/>
        <w:tblLook w:firstColumn="1" w:firstRow="1" w:lastColumn="0" w:lastRow="0" w:noHBand="0" w:noVBand="1" w:val="04A0"/>
      </w:tblPr>
      <w:tblGrid>
        <w:gridCol w:w="10282"/>
      </w:tblGrid>
      <w:tr>
        <w:tc>
          <w:tcPr>
            <w:tcW w:type="dxa" w:w="10282"/>
            <w:shd w:fill="F4E9FF"/>
            <w:tcMar>
              <w:top w:w="150" w:type="dxa"/>
              <w:start w:w="150" w:type="dxa"/>
              <w:bottom w:w="150" w:type="dxa"/>
              <w:end w:w="150" w:type="dxa"/>
            </w:tcMar>
          </w:tcPr>
          <w:p>
            <w:pPr>
              <w:spacing w:after="60"/>
            </w:pPr>
            <w:r>
              <w:rPr>
                <w:rFonts w:ascii="Arial" w:hAnsi="Arial" w:eastAsia="Arial"/>
                <w:b/>
                <w:i w:val="0"/>
                <w:color w:val="7216A8"/>
                <w:sz w:val="16"/>
              </w:rPr>
              <w:t>DESIGN PRESET</w:t>
            </w:r>
          </w:p>
          <w:p>
            <w:pPr>
              <w:spacing w:after="0"/>
            </w:pPr>
            <w:r>
              <w:rPr>
                <w:rFonts w:ascii="Arial" w:hAnsi="Arial" w:eastAsia="Arial"/>
                <w:b w:val="0"/>
                <w:i w:val="0"/>
                <w:color w:val="182033"/>
                <w:sz w:val="17"/>
              </w:rPr>
              <w:t>Compact reference guide. Brackets are fields or drafting notes. Select or delete checkbox options. Attorney-review placeholders are intentionally incomplete.</w:t>
            </w:r>
          </w:p>
        </w:tc>
      </w:tr>
    </w:tbl>
    <w:p>
      <w:pPr>
        <w:spacing w:after="0"/>
      </w:pPr>
    </w:p>
    <w:tbl>
      <w:tblPr>
        <w:tblStyle w:val="TableGrid"/>
        <w:tblW w:type="auto" w:w="0"/>
        <w:jc w:val="center"/>
        <w:tblLayout w:type="fixed"/>
        <w:tblLook w:firstColumn="1" w:firstRow="1" w:lastColumn="0" w:lastRow="0" w:noHBand="0" w:noVBand="1" w:val="04A0"/>
      </w:tblPr>
      <w:tblGrid>
        <w:gridCol w:w="3427"/>
        <w:gridCol w:w="3427"/>
        <w:gridCol w:w="3427"/>
      </w:tblGrid>
      <w:tr>
        <w:trPr>
          <w:cantSplit/>
          <w:tblHeader w:val="true"/>
        </w:trPr>
        <w:tc>
          <w:tcPr>
            <w:tcW w:type="dxa" w:w="64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Step</w:t>
            </w:r>
          </w:p>
        </w:tc>
        <w:tc>
          <w:tcPr>
            <w:tcW w:type="dxa" w:w="208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Owner</w:t>
            </w:r>
          </w:p>
        </w:tc>
        <w:tc>
          <w:tcPr>
            <w:tcW w:type="dxa" w:w="720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Action</w:t>
            </w:r>
          </w:p>
        </w:tc>
      </w:tr>
      <w:tr>
        <w:trPr>
          <w:cantSplit/>
        </w:trPr>
        <w:tc>
          <w:tcPr>
            <w:tcW w:type="dxa" w:w="6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1</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Provider + Client</w:t>
            </w:r>
          </w:p>
        </w:tc>
        <w:tc>
          <w:tcPr>
            <w:tcW w:type="dxa" w:w="720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Complete parties, scope, fees, term, approval, access, and handoff fields.</w:t>
            </w:r>
          </w:p>
        </w:tc>
      </w:tr>
      <w:tr>
        <w:trPr>
          <w:cantSplit/>
        </w:trPr>
        <w:tc>
          <w:tcPr>
            <w:tcW w:type="dxa" w:w="6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2</w:t>
            </w:r>
          </w:p>
        </w:tc>
        <w:tc>
          <w:tcPr>
            <w:tcW w:type="dxa" w:w="208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Account team</w:t>
            </w:r>
          </w:p>
        </w:tc>
        <w:tc>
          <w:tcPr>
            <w:tcW w:type="dxa" w:w="720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Finish Schedules A through D and attach any paid, creator, privacy, or regulated-content addenda.</w:t>
            </w:r>
          </w:p>
        </w:tc>
      </w:tr>
      <w:tr>
        <w:trPr>
          <w:cantSplit/>
        </w:trPr>
        <w:tc>
          <w:tcPr>
            <w:tcW w:type="dxa" w:w="6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3</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Security + privacy</w:t>
            </w:r>
          </w:p>
        </w:tc>
        <w:tc>
          <w:tcPr>
            <w:tcW w:type="dxa" w:w="720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Confirm credentials, personal data, incidents, retention, and data-processing duties.</w:t>
            </w:r>
          </w:p>
        </w:tc>
      </w:tr>
      <w:tr>
        <w:trPr>
          <w:cantSplit/>
        </w:trPr>
        <w:tc>
          <w:tcPr>
            <w:tcW w:type="dxa" w:w="6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4</w:t>
            </w:r>
          </w:p>
        </w:tc>
        <w:tc>
          <w:tcPr>
            <w:tcW w:type="dxa" w:w="208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Licensed attorney</w:t>
            </w:r>
          </w:p>
        </w:tc>
        <w:tc>
          <w:tcPr>
            <w:tcW w:type="dxa" w:w="720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Tailor IP, privacy, liability, indemnity, renewal, payment, dispute, and governing-law terms.</w:t>
            </w:r>
          </w:p>
        </w:tc>
      </w:tr>
      <w:tr>
        <w:trPr>
          <w:cantSplit/>
        </w:trPr>
        <w:tc>
          <w:tcPr>
            <w:tcW w:type="dxa" w:w="6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5</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Signatories</w:t>
            </w:r>
          </w:p>
        </w:tc>
        <w:tc>
          <w:tcPr>
            <w:tcW w:type="dxa" w:w="720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Remove notes, verify attachments, sign, and store the final version with the operating records.</w:t>
            </w:r>
          </w:p>
        </w:tc>
      </w:tr>
    </w:tbl>
    <w:p>
      <w:pPr>
        <w:spacing w:after="0"/>
      </w:pPr>
    </w:p>
    <w:p>
      <w:pPr>
        <w:pStyle w:val="Heading2"/>
      </w:pPr>
      <w:r>
        <w:t>Completion checklist</w:t>
      </w:r>
    </w:p>
    <w:p>
      <w:pPr>
        <w:spacing w:after="40"/>
      </w:pPr>
      <w:r>
        <w:rPr>
          <w:rFonts w:ascii="Arial" w:hAnsi="Arial" w:eastAsia="Arial"/>
          <w:b w:val="0"/>
          <w:i w:val="0"/>
          <w:color w:val="182033"/>
          <w:sz w:val="17"/>
        </w:rPr>
        <w:t>☐  Every bracketed field has been replaced or deleted.</w:t>
      </w:r>
    </w:p>
    <w:p>
      <w:pPr>
        <w:spacing w:after="40"/>
      </w:pPr>
      <w:r>
        <w:rPr>
          <w:rFonts w:ascii="Arial" w:hAnsi="Arial" w:eastAsia="Arial"/>
          <w:b w:val="0"/>
          <w:i w:val="0"/>
          <w:color w:val="182033"/>
          <w:sz w:val="17"/>
        </w:rPr>
        <w:t>☐  The proposal and Schedule A contain the same deliverables, dates, and fees.</w:t>
      </w:r>
    </w:p>
    <w:p>
      <w:pPr>
        <w:spacing w:after="40"/>
      </w:pPr>
      <w:r>
        <w:rPr>
          <w:rFonts w:ascii="Arial" w:hAnsi="Arial" w:eastAsia="Arial"/>
          <w:b w:val="0"/>
          <w:i w:val="0"/>
          <w:color w:val="182033"/>
          <w:sz w:val="17"/>
        </w:rPr>
        <w:t>☐  Source, evidence, rights, approval, access, and crisis duties have named owners.</w:t>
      </w:r>
    </w:p>
    <w:p>
      <w:pPr>
        <w:spacing w:after="40"/>
      </w:pPr>
      <w:r>
        <w:rPr>
          <w:rFonts w:ascii="Arial" w:hAnsi="Arial" w:eastAsia="Arial"/>
          <w:b w:val="0"/>
          <w:i w:val="0"/>
          <w:color w:val="182033"/>
          <w:sz w:val="17"/>
        </w:rPr>
        <w:t>☐  Paid media, community, endorsements, and regulated content are defined or expressly excluded.</w:t>
      </w:r>
    </w:p>
    <w:p>
      <w:pPr>
        <w:spacing w:after="40"/>
      </w:pPr>
      <w:r>
        <w:rPr>
          <w:rFonts w:ascii="Arial" w:hAnsi="Arial" w:eastAsia="Arial"/>
          <w:b w:val="0"/>
          <w:i w:val="0"/>
          <w:color w:val="182033"/>
          <w:sz w:val="17"/>
        </w:rPr>
        <w:t>☐  The final version includes every referenced schedule, addendum, and policy.</w:t>
      </w:r>
    </w:p>
    <w:p>
      <w:pPr>
        <w:spacing w:after="40"/>
      </w:pPr>
      <w:r>
        <w:rPr>
          <w:rFonts w:ascii="Arial" w:hAnsi="Arial" w:eastAsia="Arial"/>
          <w:b w:val="0"/>
          <w:i w:val="0"/>
          <w:color w:val="182033"/>
          <w:sz w:val="17"/>
        </w:rPr>
        <w:t>☐  Local counsel reviewed the jurisdiction-sensitive provisions and both signatories have authority.</w:t>
      </w:r>
    </w:p>
    <w:p>
      <w:r>
        <w:br w:type="page"/>
      </w:r>
    </w:p>
    <w:p>
      <w:pPr>
        <w:keepNext/>
        <w:spacing w:before="300" w:after="120"/>
      </w:pPr>
      <w:r>
        <w:rPr>
          <w:rFonts w:ascii="Arial" w:hAnsi="Arial" w:eastAsia="Arial"/>
          <w:b/>
          <w:i w:val="0"/>
          <w:color w:val="A100FF"/>
          <w:sz w:val="17"/>
        </w:rPr>
        <w:t>AGREEMENT</w:t>
      </w:r>
    </w:p>
    <w:p>
      <w:pPr>
        <w:keepNext/>
        <w:spacing w:after="120"/>
      </w:pPr>
      <w:r>
        <w:rPr>
          <w:rFonts w:ascii="Arial" w:hAnsi="Arial" w:eastAsia="Arial"/>
          <w:b/>
          <w:i w:val="0"/>
          <w:color w:val="182033"/>
          <w:sz w:val="48"/>
        </w:rPr>
        <w:t>Social Media Services Agreement</w:t>
      </w:r>
    </w:p>
    <w:p>
      <w:pPr>
        <w:keepNext/>
        <w:spacing w:after="240"/>
      </w:pPr>
      <w:r>
        <w:rPr>
          <w:rFonts w:ascii="Arial" w:hAnsi="Arial" w:eastAsia="Arial"/>
          <w:b w:val="0"/>
          <w:i w:val="0"/>
          <w:color w:val="586272"/>
          <w:sz w:val="21"/>
        </w:rPr>
        <w:t>The operational terms should match the systems and people used to run the account.</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p>
      <w:r>
        <w:rPr>
          <w:rFonts w:ascii="Arial" w:hAnsi="Arial" w:eastAsia="Arial"/>
          <w:b w:val="0"/>
          <w:i w:val="0"/>
          <w:color w:val="182033"/>
          <w:sz w:val="18"/>
        </w:rPr>
        <w:t>This Social Media Services Agreement (the "Agreement") is entered as of [EFFECTIVE DATE] by and between [PROVIDER LEGAL NAME AND ENTITY TYPE], with an address at [ADDRESS] ("Provider"), and [CLIENT LEGAL NAME AND ENTITY TYPE], with an address at [ADDRESS] ("Client"). Each may be a "Party" and together the "Parties."</w:t>
      </w:r>
    </w:p>
    <w:p>
      <w:pPr>
        <w:keepNext/>
        <w:spacing w:before="180" w:after="60"/>
      </w:pPr>
      <w:r>
        <w:rPr>
          <w:rFonts w:ascii="Arial" w:hAnsi="Arial" w:eastAsia="Arial"/>
          <w:b/>
          <w:i w:val="0"/>
          <w:color w:val="A100FF"/>
          <w:sz w:val="24"/>
        </w:rPr>
        <w:t xml:space="preserve">1. </w:t>
      </w:r>
      <w:r>
        <w:rPr>
          <w:rFonts w:ascii="Arial" w:hAnsi="Arial" w:eastAsia="Arial"/>
          <w:b/>
          <w:i w:val="0"/>
          <w:color w:val="182033"/>
          <w:sz w:val="24"/>
        </w:rPr>
        <w:t>Term and renewal</w:t>
      </w:r>
    </w:p>
    <w:p>
      <w:pPr>
        <w:spacing w:after="80" w:line="254" w:lineRule="auto"/>
      </w:pPr>
      <w:r>
        <w:rPr>
          <w:rFonts w:ascii="Arial" w:hAnsi="Arial" w:eastAsia="Arial"/>
          <w:b w:val="0"/>
          <w:i w:val="0"/>
          <w:color w:val="182033"/>
          <w:sz w:val="18"/>
        </w:rPr>
        <w:t>1.1 The Agreement begins [START DATE] and continues [SELECT: month to month / through END DATE / until the Schedule A project is complete], unless terminated under Section 18.</w:t>
      </w:r>
    </w:p>
    <w:p>
      <w:pPr>
        <w:spacing w:after="80" w:line="254" w:lineRule="auto"/>
      </w:pPr>
      <w:r>
        <w:rPr>
          <w:rFonts w:ascii="Arial" w:hAnsi="Arial" w:eastAsia="Arial"/>
          <w:b w:val="0"/>
          <w:i w:val="0"/>
          <w:color w:val="182033"/>
          <w:sz w:val="18"/>
        </w:rPr>
        <w:t>1.2 Renewal is [SELECT: none / successive periods of LENGTH unless notice is delivered by METHOD at least DAYS before term end]. Counsel must confirm any automatic-renewal and cancellation requirements.</w:t>
      </w:r>
    </w:p>
    <w:p>
      <w:pPr>
        <w:spacing w:after="80" w:line="254" w:lineRule="auto"/>
      </w:pPr>
      <w:r>
        <w:rPr>
          <w:rFonts w:ascii="Arial" w:hAnsi="Arial" w:eastAsia="Arial"/>
          <w:b w:val="0"/>
          <w:i w:val="0"/>
          <w:color w:val="182033"/>
          <w:sz w:val="18"/>
        </w:rPr>
        <w:t>1.3 If documents conflict, priority is: signed change order; signed schedule or addendum; this Agreement; incorporated proposal.</w:t>
      </w:r>
    </w:p>
    <w:p>
      <w:pPr>
        <w:keepNext/>
        <w:spacing w:before="180" w:after="60"/>
      </w:pPr>
      <w:r>
        <w:rPr>
          <w:rFonts w:ascii="Arial" w:hAnsi="Arial" w:eastAsia="Arial"/>
          <w:b/>
          <w:i w:val="0"/>
          <w:color w:val="A100FF"/>
          <w:sz w:val="24"/>
        </w:rPr>
        <w:t xml:space="preserve">2. </w:t>
      </w:r>
      <w:r>
        <w:rPr>
          <w:rFonts w:ascii="Arial" w:hAnsi="Arial" w:eastAsia="Arial"/>
          <w:b/>
          <w:i w:val="0"/>
          <w:color w:val="182033"/>
          <w:sz w:val="24"/>
        </w:rPr>
        <w:t>Services and scope</w:t>
      </w:r>
    </w:p>
    <w:p>
      <w:pPr>
        <w:spacing w:after="80" w:line="254" w:lineRule="auto"/>
      </w:pPr>
      <w:r>
        <w:rPr>
          <w:rFonts w:ascii="Arial" w:hAnsi="Arial" w:eastAsia="Arial"/>
          <w:b w:val="0"/>
          <w:i w:val="0"/>
          <w:color w:val="182033"/>
          <w:sz w:val="18"/>
        </w:rPr>
        <w:t>2.1 Provider will perform only the services in Schedule A. Channel, account, brand, quantity, format, source, publishing duty, community coverage, paid-media duty, reporting, and exclusions must be stated.</w:t>
      </w:r>
    </w:p>
    <w:p>
      <w:pPr>
        <w:spacing w:after="80" w:line="254" w:lineRule="auto"/>
      </w:pPr>
      <w:r>
        <w:rPr>
          <w:rFonts w:ascii="Arial" w:hAnsi="Arial" w:eastAsia="Arial"/>
          <w:b w:val="0"/>
          <w:i w:val="0"/>
          <w:color w:val="182033"/>
          <w:sz w:val="18"/>
        </w:rPr>
        <w:t>2.2 Work not included is outside scope. Provider may recommend changes, but a recommendation changes scope only through Section 4.</w:t>
      </w:r>
    </w:p>
    <w:p>
      <w:pPr>
        <w:keepNext/>
        <w:spacing w:before="180" w:after="60"/>
      </w:pPr>
      <w:r>
        <w:rPr>
          <w:rFonts w:ascii="Arial" w:hAnsi="Arial" w:eastAsia="Arial"/>
          <w:b/>
          <w:i w:val="0"/>
          <w:color w:val="A100FF"/>
          <w:sz w:val="24"/>
        </w:rPr>
        <w:t xml:space="preserve">3. </w:t>
      </w:r>
      <w:r>
        <w:rPr>
          <w:rFonts w:ascii="Arial" w:hAnsi="Arial" w:eastAsia="Arial"/>
          <w:b/>
          <w:i w:val="0"/>
          <w:color w:val="182033"/>
          <w:sz w:val="24"/>
        </w:rPr>
        <w:t>Deliverables, schedule, and dependencies</w:t>
      </w:r>
    </w:p>
    <w:p>
      <w:pPr>
        <w:spacing w:after="80" w:line="254" w:lineRule="auto"/>
      </w:pPr>
      <w:r>
        <w:rPr>
          <w:rFonts w:ascii="Arial" w:hAnsi="Arial" w:eastAsia="Arial"/>
          <w:b w:val="0"/>
          <w:i w:val="0"/>
          <w:color w:val="182033"/>
          <w:sz w:val="18"/>
        </w:rPr>
        <w:t>3.1 Provider will deliver the countable outputs in Schedule A, subject to Client dependencies, approvals, platform availability, and signed changes.</w:t>
      </w:r>
    </w:p>
    <w:p>
      <w:pPr>
        <w:spacing w:after="80" w:line="254" w:lineRule="auto"/>
      </w:pPr>
      <w:r>
        <w:rPr>
          <w:rFonts w:ascii="Arial" w:hAnsi="Arial" w:eastAsia="Arial"/>
          <w:b w:val="0"/>
          <w:i w:val="0"/>
          <w:color w:val="182033"/>
          <w:sz w:val="18"/>
        </w:rPr>
        <w:t>3.2 Client dependencies include timely access, facts, claim support, source material, permissions, approvals, and personnel identified in the schedules.</w:t>
      </w:r>
    </w:p>
    <w:p>
      <w:pPr>
        <w:spacing w:after="80" w:line="254" w:lineRule="auto"/>
      </w:pPr>
      <w:r>
        <w:rPr>
          <w:rFonts w:ascii="Arial" w:hAnsi="Arial" w:eastAsia="Arial"/>
          <w:b w:val="0"/>
          <w:i w:val="0"/>
          <w:color w:val="182033"/>
          <w:sz w:val="18"/>
        </w:rPr>
        <w:t>3.3 When a dependency is late or incomplete, Provider may move the affected date, pause the work, or propose a change order after documenting the dependency and revised plan.</w:t>
      </w:r>
    </w:p>
    <w:p>
      <w:pPr>
        <w:keepNext/>
        <w:spacing w:before="180" w:after="60"/>
      </w:pPr>
      <w:r>
        <w:rPr>
          <w:rFonts w:ascii="Arial" w:hAnsi="Arial" w:eastAsia="Arial"/>
          <w:b/>
          <w:i w:val="0"/>
          <w:color w:val="A100FF"/>
          <w:sz w:val="24"/>
        </w:rPr>
        <w:t xml:space="preserve">4. </w:t>
      </w:r>
      <w:r>
        <w:rPr>
          <w:rFonts w:ascii="Arial" w:hAnsi="Arial" w:eastAsia="Arial"/>
          <w:b/>
          <w:i w:val="0"/>
          <w:color w:val="182033"/>
          <w:sz w:val="24"/>
        </w:rPr>
        <w:t>Changes and additional work</w:t>
      </w:r>
    </w:p>
    <w:p>
      <w:pPr>
        <w:spacing w:after="80" w:line="254" w:lineRule="auto"/>
      </w:pPr>
      <w:r>
        <w:rPr>
          <w:rFonts w:ascii="Arial" w:hAnsi="Arial" w:eastAsia="Arial"/>
          <w:b w:val="0"/>
          <w:i w:val="0"/>
          <w:color w:val="182033"/>
          <w:sz w:val="18"/>
        </w:rPr>
        <w:t>4.1 Either Party may request a change in writing. Provider will state the effect on fee, timing, dependencies, and deliverables before beginning material extra work.</w:t>
      </w:r>
    </w:p>
    <w:p>
      <w:pPr>
        <w:spacing w:after="80" w:line="254" w:lineRule="auto"/>
      </w:pPr>
      <w:r>
        <w:rPr>
          <w:rFonts w:ascii="Arial" w:hAnsi="Arial" w:eastAsia="Arial"/>
          <w:b w:val="0"/>
          <w:i w:val="0"/>
          <w:color w:val="182033"/>
          <w:sz w:val="18"/>
        </w:rPr>
        <w:t>4.2 A change is authorized only by [NAMES / ROLES] through [SIGNED CHANGE ORDER / APPROVED SYSTEM STATUS / OTHER COUNSEL-APPROVED METHOD].</w:t>
      </w:r>
    </w:p>
    <w:p>
      <w:pPr>
        <w:spacing w:after="80" w:line="254" w:lineRule="auto"/>
      </w:pPr>
      <w:r>
        <w:rPr>
          <w:rFonts w:ascii="Arial" w:hAnsi="Arial" w:eastAsia="Arial"/>
          <w:b w:val="0"/>
          <w:i w:val="0"/>
          <w:color w:val="182033"/>
          <w:sz w:val="18"/>
        </w:rPr>
        <w:t>4.3 Additional work is charged by [RATE / QUOTE METHOD] after authorization. Provider is not required to perform unapproved work.</w:t>
      </w:r>
    </w:p>
    <w:p>
      <w:pPr>
        <w:keepNext/>
        <w:spacing w:before="180" w:after="60"/>
      </w:pPr>
      <w:r>
        <w:rPr>
          <w:rFonts w:ascii="Arial" w:hAnsi="Arial" w:eastAsia="Arial"/>
          <w:b/>
          <w:i w:val="0"/>
          <w:color w:val="A100FF"/>
          <w:sz w:val="24"/>
        </w:rPr>
        <w:t xml:space="preserve">5. </w:t>
      </w:r>
      <w:r>
        <w:rPr>
          <w:rFonts w:ascii="Arial" w:hAnsi="Arial" w:eastAsia="Arial"/>
          <w:b/>
          <w:i w:val="0"/>
          <w:color w:val="182033"/>
          <w:sz w:val="24"/>
        </w:rPr>
        <w:t>Fees, taxes, and expenses</w:t>
      </w:r>
    </w:p>
    <w:p>
      <w:pPr>
        <w:spacing w:after="80" w:line="254" w:lineRule="auto"/>
      </w:pPr>
      <w:r>
        <w:rPr>
          <w:rFonts w:ascii="Arial" w:hAnsi="Arial" w:eastAsia="Arial"/>
          <w:b w:val="0"/>
          <w:i w:val="0"/>
          <w:color w:val="182033"/>
          <w:sz w:val="18"/>
        </w:rPr>
        <w:t>5.1 Client will pay Schedule A fees in [CURRENCY]. Provider invoices [TIMING], and undisputed amounts are due [DATE / DAYS].</w:t>
      </w:r>
    </w:p>
    <w:p>
      <w:pPr>
        <w:spacing w:after="80" w:line="254" w:lineRule="auto"/>
      </w:pPr>
      <w:r>
        <w:rPr>
          <w:rFonts w:ascii="Arial" w:hAnsi="Arial" w:eastAsia="Arial"/>
          <w:b w:val="0"/>
          <w:i w:val="0"/>
          <w:color w:val="182033"/>
          <w:sz w:val="18"/>
        </w:rPr>
        <w:t>5.2 Client reimburses only expenses Schedule A permits or Client approves. Advertising, talent, media licenses, travel, fulfillment, and client-specific software should be separate.</w:t>
      </w:r>
    </w:p>
    <w:p>
      <w:pPr>
        <w:spacing w:after="80" w:line="254" w:lineRule="auto"/>
      </w:pPr>
      <w:r>
        <w:rPr>
          <w:rFonts w:ascii="Arial" w:hAnsi="Arial" w:eastAsia="Arial"/>
          <w:b w:val="0"/>
          <w:i w:val="0"/>
          <w:color w:val="182033"/>
          <w:sz w:val="18"/>
        </w:rPr>
        <w:t>5.3 Taxes, deposits, suspension, late charges, collection costs, and disputes: [INSERT COUNSEL-APPROVED TERMS OR MARK NOT APPLICABLE].</w:t>
      </w:r>
    </w:p>
    <w:p>
      <w:pPr>
        <w:keepNext/>
        <w:spacing w:before="180" w:after="60"/>
      </w:pPr>
      <w:r>
        <w:rPr>
          <w:rFonts w:ascii="Arial" w:hAnsi="Arial" w:eastAsia="Arial"/>
          <w:b/>
          <w:i w:val="0"/>
          <w:color w:val="A100FF"/>
          <w:sz w:val="24"/>
        </w:rPr>
        <w:t xml:space="preserve">6. </w:t>
      </w:r>
      <w:r>
        <w:rPr>
          <w:rFonts w:ascii="Arial" w:hAnsi="Arial" w:eastAsia="Arial"/>
          <w:b/>
          <w:i w:val="0"/>
          <w:color w:val="182033"/>
          <w:sz w:val="24"/>
        </w:rPr>
        <w:t>Client responsibilities</w:t>
      </w:r>
    </w:p>
    <w:p>
      <w:pPr>
        <w:pStyle w:val="ListBullet"/>
        <w:spacing w:after="40"/>
        <w:ind w:left="317" w:hanging="187"/>
      </w:pPr>
      <w:r>
        <w:rPr>
          <w:rFonts w:ascii="Arial" w:hAnsi="Arial" w:eastAsia="Arial"/>
          <w:b w:val="0"/>
          <w:i w:val="0"/>
          <w:color w:val="182033"/>
          <w:sz w:val="17"/>
        </w:rPr>
        <w:t>Supply accurate, current business, product, pricing, offer, audience, and legal information.</w:t>
      </w:r>
    </w:p>
    <w:p>
      <w:pPr>
        <w:pStyle w:val="ListBullet"/>
        <w:spacing w:after="40"/>
        <w:ind w:left="317" w:hanging="187"/>
      </w:pPr>
      <w:r>
        <w:rPr>
          <w:rFonts w:ascii="Arial" w:hAnsi="Arial" w:eastAsia="Arial"/>
          <w:b w:val="0"/>
          <w:i w:val="0"/>
          <w:color w:val="182033"/>
          <w:sz w:val="17"/>
        </w:rPr>
        <w:t>Supply evidence for numerical, comparative, regulated, health, financial, performance, or other substantive claims.</w:t>
      </w:r>
    </w:p>
    <w:p>
      <w:pPr>
        <w:pStyle w:val="ListBullet"/>
        <w:spacing w:after="40"/>
        <w:ind w:left="317" w:hanging="187"/>
      </w:pPr>
      <w:r>
        <w:rPr>
          <w:rFonts w:ascii="Arial" w:hAnsi="Arial" w:eastAsia="Arial"/>
          <w:b w:val="0"/>
          <w:i w:val="0"/>
          <w:color w:val="182033"/>
          <w:sz w:val="17"/>
        </w:rPr>
        <w:t>Confirm rights for trademarks, photos, video, music, testimonials, employees, customers, creators, and user-generated content.</w:t>
      </w:r>
    </w:p>
    <w:p>
      <w:pPr>
        <w:pStyle w:val="ListBullet"/>
        <w:spacing w:after="40"/>
        <w:ind w:left="317" w:hanging="187"/>
      </w:pPr>
      <w:r>
        <w:rPr>
          <w:rFonts w:ascii="Arial" w:hAnsi="Arial" w:eastAsia="Arial"/>
          <w:b w:val="0"/>
          <w:i w:val="0"/>
          <w:color w:val="182033"/>
          <w:sz w:val="17"/>
        </w:rPr>
        <w:t>Retain primary account ownership and grant native roles or partner access where available.</w:t>
      </w:r>
    </w:p>
    <w:p>
      <w:pPr>
        <w:pStyle w:val="ListBullet"/>
        <w:spacing w:after="40"/>
        <w:ind w:left="317" w:hanging="187"/>
      </w:pPr>
      <w:r>
        <w:rPr>
          <w:rFonts w:ascii="Arial" w:hAnsi="Arial" w:eastAsia="Arial"/>
          <w:b w:val="0"/>
          <w:i w:val="0"/>
          <w:color w:val="182033"/>
          <w:sz w:val="17"/>
        </w:rPr>
        <w:t>Name a reviewer, approver, backup, fact resolver, security contact, and crisis contact.</w:t>
      </w:r>
    </w:p>
    <w:p>
      <w:pPr>
        <w:pStyle w:val="ListBullet"/>
        <w:spacing w:after="40"/>
        <w:ind w:left="317" w:hanging="187"/>
      </w:pPr>
      <w:r>
        <w:rPr>
          <w:rFonts w:ascii="Arial" w:hAnsi="Arial" w:eastAsia="Arial"/>
          <w:b w:val="0"/>
          <w:i w:val="0"/>
          <w:color w:val="182033"/>
          <w:sz w:val="17"/>
        </w:rPr>
        <w:t>Decide within agreed service levels and promptly report errors, legal concerns, complaints, or changed facts.</w:t>
      </w:r>
    </w:p>
    <w:p>
      <w:pPr>
        <w:keepNext/>
        <w:spacing w:before="300" w:after="120"/>
      </w:pPr>
      <w:r>
        <w:rPr>
          <w:rFonts w:ascii="Arial" w:hAnsi="Arial" w:eastAsia="Arial"/>
          <w:b/>
          <w:i w:val="0"/>
          <w:color w:val="A100FF"/>
          <w:sz w:val="17"/>
        </w:rPr>
        <w:t>OPERATIONS</w:t>
      </w:r>
    </w:p>
    <w:p>
      <w:pPr>
        <w:keepNext/>
        <w:spacing w:after="120"/>
      </w:pPr>
      <w:r>
        <w:rPr>
          <w:rFonts w:ascii="Arial" w:hAnsi="Arial" w:eastAsia="Arial"/>
          <w:b/>
          <w:i w:val="0"/>
          <w:color w:val="182033"/>
          <w:sz w:val="48"/>
        </w:rPr>
        <w:t>Approval, publishing, and account control</w:t>
      </w:r>
    </w:p>
    <w:p>
      <w:pPr>
        <w:keepNext/>
        <w:spacing w:after="240"/>
      </w:pPr>
      <w:r>
        <w:rPr>
          <w:rFonts w:ascii="Arial" w:hAnsi="Arial" w:eastAsia="Arial"/>
          <w:b w:val="0"/>
          <w:i w:val="0"/>
          <w:color w:val="586272"/>
          <w:sz w:val="21"/>
        </w:rPr>
        <w:t>These clauses convert the commercial promise into a working review and release process.</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p>
      <w:pPr>
        <w:keepNext/>
        <w:spacing w:before="180" w:after="60"/>
      </w:pPr>
      <w:r>
        <w:rPr>
          <w:rFonts w:ascii="Arial" w:hAnsi="Arial" w:eastAsia="Arial"/>
          <w:b/>
          <w:i w:val="0"/>
          <w:color w:val="A100FF"/>
          <w:sz w:val="24"/>
        </w:rPr>
        <w:t xml:space="preserve">7. </w:t>
      </w:r>
      <w:r>
        <w:rPr>
          <w:rFonts w:ascii="Arial" w:hAnsi="Arial" w:eastAsia="Arial"/>
          <w:b/>
          <w:i w:val="0"/>
          <w:color w:val="182033"/>
          <w:sz w:val="24"/>
        </w:rPr>
        <w:t>Review, approval, and revisions</w:t>
      </w:r>
    </w:p>
    <w:p>
      <w:pPr>
        <w:spacing w:after="80" w:line="254" w:lineRule="auto"/>
      </w:pPr>
      <w:r>
        <w:rPr>
          <w:rFonts w:ascii="Arial" w:hAnsi="Arial" w:eastAsia="Arial"/>
          <w:b w:val="0"/>
          <w:i w:val="0"/>
          <w:color w:val="182033"/>
          <w:sz w:val="18"/>
        </w:rPr>
        <w:t>7.1 Provider submits content through [APPROVAL SYSTEM]. The canonical preview, comments, decision, approver, timestamp, and conditions will be retained where the system permits.</w:t>
      </w:r>
    </w:p>
    <w:p>
      <w:pPr>
        <w:spacing w:after="80" w:line="254" w:lineRule="auto"/>
      </w:pPr>
      <w:r>
        <w:rPr>
          <w:rFonts w:ascii="Arial" w:hAnsi="Arial" w:eastAsia="Arial"/>
          <w:b w:val="0"/>
          <w:i w:val="0"/>
          <w:color w:val="182033"/>
          <w:sz w:val="18"/>
        </w:rPr>
        <w:t>7.2 Client provides one consolidated decision within [NUMBER] business [HOURS / DAYS]. Decisions are approved, conditionally approved, changes requested, rejected, or expired as Schedule C defines.</w:t>
      </w:r>
    </w:p>
    <w:p>
      <w:pPr>
        <w:spacing w:after="80" w:line="254" w:lineRule="auto"/>
      </w:pPr>
      <w:r>
        <w:rPr>
          <w:rFonts w:ascii="Arial" w:hAnsi="Arial" w:eastAsia="Arial"/>
          <w:b w:val="0"/>
          <w:i w:val="0"/>
          <w:color w:val="182033"/>
          <w:sz w:val="18"/>
        </w:rPr>
        <w:t>7.3 [NUMBER] revision rounds are included per [ASSET / BATCH]. New concepts, strategy, source material, or post-approval changes may require a change order.</w:t>
      </w:r>
    </w:p>
    <w:p>
      <w:pPr>
        <w:spacing w:after="80" w:line="254" w:lineRule="auto"/>
      </w:pPr>
      <w:r>
        <w:rPr>
          <w:rFonts w:ascii="Arial" w:hAnsi="Arial" w:eastAsia="Arial"/>
          <w:b w:val="0"/>
          <w:i w:val="0"/>
          <w:color w:val="182033"/>
          <w:sz w:val="18"/>
        </w:rPr>
        <w:t>7.4 Silence is not approval unless Schedule C identifies a narrow low-risk category and counsel approves the mechanism. Claim-bearing, regulated, crisis, and sensitive content requires affirmative approval.</w:t>
      </w:r>
    </w:p>
    <w:p>
      <w:pPr>
        <w:spacing w:after="80" w:line="254" w:lineRule="auto"/>
      </w:pPr>
      <w:r>
        <w:rPr>
          <w:rFonts w:ascii="Arial" w:hAnsi="Arial" w:eastAsia="Arial"/>
          <w:b w:val="0"/>
          <w:i w:val="0"/>
          <w:color w:val="182033"/>
          <w:sz w:val="18"/>
        </w:rPr>
        <w:t>7.5 Material changes to approved claims, offers, disclosures, creative, destination, date, or context require renewed approval.</w:t>
      </w:r>
    </w:p>
    <w:p>
      <w:pPr>
        <w:keepNext/>
        <w:spacing w:before="180" w:after="60"/>
      </w:pPr>
      <w:r>
        <w:rPr>
          <w:rFonts w:ascii="Arial" w:hAnsi="Arial" w:eastAsia="Arial"/>
          <w:b/>
          <w:i w:val="0"/>
          <w:color w:val="A100FF"/>
          <w:sz w:val="24"/>
        </w:rPr>
        <w:t xml:space="preserve">8. </w:t>
      </w:r>
      <w:r>
        <w:rPr>
          <w:rFonts w:ascii="Arial" w:hAnsi="Arial" w:eastAsia="Arial"/>
          <w:b/>
          <w:i w:val="0"/>
          <w:color w:val="182033"/>
          <w:sz w:val="24"/>
        </w:rPr>
        <w:t>Publishing and platform conditions</w:t>
      </w:r>
    </w:p>
    <w:p>
      <w:pPr>
        <w:spacing w:after="80" w:line="254" w:lineRule="auto"/>
      </w:pPr>
      <w:r>
        <w:rPr>
          <w:rFonts w:ascii="Arial" w:hAnsi="Arial" w:eastAsia="Arial"/>
          <w:b w:val="0"/>
          <w:i w:val="0"/>
          <w:color w:val="182033"/>
          <w:sz w:val="18"/>
        </w:rPr>
        <w:t>8.1 Provider will [DRAFT ONLY / SCHEDULE / PUBLISH] approved content to the Schedule A accounts.</w:t>
      </w:r>
    </w:p>
    <w:p>
      <w:pPr>
        <w:spacing w:after="80" w:line="254" w:lineRule="auto"/>
      </w:pPr>
      <w:r>
        <w:rPr>
          <w:rFonts w:ascii="Arial" w:hAnsi="Arial" w:eastAsia="Arial"/>
          <w:b w:val="0"/>
          <w:i w:val="0"/>
          <w:color w:val="182033"/>
          <w:sz w:val="18"/>
        </w:rPr>
        <w:t>8.2 Provider may make only the format adaptations Schedule A authorizes. Material changes require renewed approval.</w:t>
      </w:r>
    </w:p>
    <w:p>
      <w:pPr>
        <w:spacing w:after="80" w:line="254" w:lineRule="auto"/>
      </w:pPr>
      <w:r>
        <w:rPr>
          <w:rFonts w:ascii="Arial" w:hAnsi="Arial" w:eastAsia="Arial"/>
          <w:b w:val="0"/>
          <w:i w:val="0"/>
          <w:color w:val="182033"/>
          <w:sz w:val="18"/>
        </w:rPr>
        <w:t>8.3 Platforms may delay, reject, remove, restrict, modify, or fail to deliver content or access. Provider will address issues within its control but does not control platform availability, distribution, enforcement, or policy changes.</w:t>
      </w:r>
    </w:p>
    <w:p>
      <w:pPr>
        <w:keepNext/>
        <w:spacing w:before="180" w:after="60"/>
      </w:pPr>
      <w:r>
        <w:rPr>
          <w:rFonts w:ascii="Arial" w:hAnsi="Arial" w:eastAsia="Arial"/>
          <w:b/>
          <w:i w:val="0"/>
          <w:color w:val="A100FF"/>
          <w:sz w:val="24"/>
        </w:rPr>
        <w:t xml:space="preserve">9. </w:t>
      </w:r>
      <w:r>
        <w:rPr>
          <w:rFonts w:ascii="Arial" w:hAnsi="Arial" w:eastAsia="Arial"/>
          <w:b/>
          <w:i w:val="0"/>
          <w:color w:val="182033"/>
          <w:sz w:val="24"/>
        </w:rPr>
        <w:t>Community management and escalation</w:t>
      </w:r>
    </w:p>
    <w:p>
      <w:pPr>
        <w:spacing w:after="80" w:line="254" w:lineRule="auto"/>
      </w:pPr>
      <w:r>
        <w:rPr>
          <w:rFonts w:ascii="Arial" w:hAnsi="Arial" w:eastAsia="Arial"/>
          <w:b w:val="0"/>
          <w:i w:val="0"/>
          <w:color w:val="182033"/>
          <w:sz w:val="18"/>
        </w:rPr>
        <w:t>9.1 Community management is [INCLUDED / EXCLUDED]. If included, Schedule A states networks, coverage hours, languages, response categories, exclusions, records, and service levels.</w:t>
      </w:r>
    </w:p>
    <w:p>
      <w:pPr>
        <w:spacing w:after="80" w:line="254" w:lineRule="auto"/>
      </w:pPr>
      <w:r>
        <w:rPr>
          <w:rFonts w:ascii="Arial" w:hAnsi="Arial" w:eastAsia="Arial"/>
          <w:b w:val="0"/>
          <w:i w:val="0"/>
          <w:color w:val="182033"/>
          <w:sz w:val="18"/>
        </w:rPr>
        <w:t>9.2 Provider will not make legal, medical, financial, employment, safety, refund, admission-of-fault, threat, or crisis statements without an approved protocol and authority.</w:t>
      </w:r>
    </w:p>
    <w:p>
      <w:pPr>
        <w:spacing w:after="80" w:line="254" w:lineRule="auto"/>
      </w:pPr>
      <w:r>
        <w:rPr>
          <w:rFonts w:ascii="Arial" w:hAnsi="Arial" w:eastAsia="Arial"/>
          <w:b w:val="0"/>
          <w:i w:val="0"/>
          <w:color w:val="182033"/>
          <w:sz w:val="18"/>
        </w:rPr>
        <w:t>9.3 Provider escalates Schedule C items to Client's owner. Client handles specialist decisions and responses outside Provider's scope.</w:t>
      </w:r>
    </w:p>
    <w:p>
      <w:pPr>
        <w:keepNext/>
        <w:spacing w:before="180" w:after="60"/>
      </w:pPr>
      <w:r>
        <w:rPr>
          <w:rFonts w:ascii="Arial" w:hAnsi="Arial" w:eastAsia="Arial"/>
          <w:b/>
          <w:i w:val="0"/>
          <w:color w:val="A100FF"/>
          <w:sz w:val="24"/>
        </w:rPr>
        <w:t xml:space="preserve">10. </w:t>
      </w:r>
      <w:r>
        <w:rPr>
          <w:rFonts w:ascii="Arial" w:hAnsi="Arial" w:eastAsia="Arial"/>
          <w:b/>
          <w:i w:val="0"/>
          <w:color w:val="182033"/>
          <w:sz w:val="24"/>
        </w:rPr>
        <w:t>Paid media, creators, and endorsements</w:t>
      </w:r>
    </w:p>
    <w:p>
      <w:pPr>
        <w:spacing w:after="80" w:line="254" w:lineRule="auto"/>
      </w:pPr>
      <w:r>
        <w:rPr>
          <w:rFonts w:ascii="Arial" w:hAnsi="Arial" w:eastAsia="Arial"/>
          <w:b w:val="0"/>
          <w:i w:val="0"/>
          <w:color w:val="182033"/>
          <w:sz w:val="18"/>
        </w:rPr>
        <w:t>10.1 Paid media is [INCLUDED / EXCLUDED]. If included, an addendum identifies account ownership, budget authority, billing, approval, tracking, creative, audiences, reporting, and credits.</w:t>
      </w:r>
    </w:p>
    <w:p>
      <w:pPr>
        <w:spacing w:after="80" w:line="254" w:lineRule="auto"/>
      </w:pPr>
      <w:r>
        <w:rPr>
          <w:rFonts w:ascii="Arial" w:hAnsi="Arial" w:eastAsia="Arial"/>
          <w:b w:val="0"/>
          <w:i w:val="0"/>
          <w:color w:val="182033"/>
          <w:sz w:val="18"/>
        </w:rPr>
        <w:t>10.2 Creator, affiliate, employee-advocacy, contest, testimonial, and UGC work is [INCLUDED / EXCLUDED]. If included, an addendum assigns contracting, permission, payment, substantiation, disclosure, and records.</w:t>
      </w:r>
    </w:p>
    <w:p>
      <w:pPr>
        <w:spacing w:after="80" w:line="254" w:lineRule="auto"/>
      </w:pPr>
      <w:r>
        <w:rPr>
          <w:rFonts w:ascii="Arial" w:hAnsi="Arial" w:eastAsia="Arial"/>
          <w:b w:val="0"/>
          <w:i w:val="0"/>
          <w:color w:val="182033"/>
          <w:sz w:val="18"/>
        </w:rPr>
        <w:t>10.3 Each Party complies with duties that apply directly to it. This Agreement does not eliminate a duty that law does not allow a Party to transfer.</w:t>
      </w:r>
    </w:p>
    <w:p>
      <w:pPr>
        <w:keepNext/>
        <w:spacing w:before="180" w:after="60"/>
      </w:pPr>
      <w:r>
        <w:rPr>
          <w:rFonts w:ascii="Arial" w:hAnsi="Arial" w:eastAsia="Arial"/>
          <w:b/>
          <w:i w:val="0"/>
          <w:color w:val="A100FF"/>
          <w:sz w:val="24"/>
        </w:rPr>
        <w:t xml:space="preserve">11. </w:t>
      </w:r>
      <w:r>
        <w:rPr>
          <w:rFonts w:ascii="Arial" w:hAnsi="Arial" w:eastAsia="Arial"/>
          <w:b/>
          <w:i w:val="0"/>
          <w:color w:val="182033"/>
          <w:sz w:val="24"/>
        </w:rPr>
        <w:t>Accounts, credentials, and security</w:t>
      </w:r>
    </w:p>
    <w:p>
      <w:pPr>
        <w:spacing w:after="80" w:line="254" w:lineRule="auto"/>
      </w:pPr>
      <w:r>
        <w:rPr>
          <w:rFonts w:ascii="Arial" w:hAnsi="Arial" w:eastAsia="Arial"/>
          <w:b w:val="0"/>
          <w:i w:val="0"/>
          <w:color w:val="182033"/>
          <w:sz w:val="18"/>
        </w:rPr>
        <w:t>11.1 Client retains primary ownership of its Pages, profiles, business managers, ad accounts, pixels, audiences, analytics, and message history unless counsel-approved Schedule A terms say otherwise.</w:t>
      </w:r>
    </w:p>
    <w:p>
      <w:pPr>
        <w:spacing w:after="80" w:line="254" w:lineRule="auto"/>
      </w:pPr>
      <w:r>
        <w:rPr>
          <w:rFonts w:ascii="Arial" w:hAnsi="Arial" w:eastAsia="Arial"/>
          <w:b w:val="0"/>
          <w:i w:val="0"/>
          <w:color w:val="182033"/>
          <w:sz w:val="18"/>
        </w:rPr>
        <w:t>11.2 The Parties use native roles, individual identities, least privilege, and multi-factor authentication where available. Necessary shared credentials use Schedule D's approved storage.</w:t>
      </w:r>
    </w:p>
    <w:p>
      <w:pPr>
        <w:spacing w:after="80" w:line="254" w:lineRule="auto"/>
      </w:pPr>
      <w:r>
        <w:rPr>
          <w:rFonts w:ascii="Arial" w:hAnsi="Arial" w:eastAsia="Arial"/>
          <w:b w:val="0"/>
          <w:i w:val="0"/>
          <w:color w:val="182033"/>
          <w:sz w:val="18"/>
        </w:rPr>
        <w:t>11.3 Each Party promptly notifies the other's security contact of suspected unauthorized access, preserves records, and cooperates on containment and recovery.</w:t>
      </w:r>
    </w:p>
    <w:p>
      <w:pPr>
        <w:spacing w:after="80" w:line="254" w:lineRule="auto"/>
      </w:pPr>
      <w:r>
        <w:rPr>
          <w:rFonts w:ascii="Arial" w:hAnsi="Arial" w:eastAsia="Arial"/>
          <w:b w:val="0"/>
          <w:i w:val="0"/>
          <w:color w:val="182033"/>
          <w:sz w:val="18"/>
        </w:rPr>
        <w:t>11.4 Provider removes personnel and subcontractor access when no longer needed and completes Schedule D within [NUMBER] business days.</w:t>
      </w:r>
    </w:p>
    <w:p>
      <w:pPr>
        <w:keepNext/>
        <w:spacing w:before="180" w:after="60"/>
      </w:pPr>
      <w:r>
        <w:rPr>
          <w:rFonts w:ascii="Arial" w:hAnsi="Arial" w:eastAsia="Arial"/>
          <w:b/>
          <w:i w:val="0"/>
          <w:color w:val="A100FF"/>
          <w:sz w:val="24"/>
        </w:rPr>
        <w:t xml:space="preserve">12. </w:t>
      </w:r>
      <w:r>
        <w:rPr>
          <w:rFonts w:ascii="Arial" w:hAnsi="Arial" w:eastAsia="Arial"/>
          <w:b/>
          <w:i w:val="0"/>
          <w:color w:val="182033"/>
          <w:sz w:val="24"/>
        </w:rPr>
        <w:t>Crisis and sensitive-event pause</w:t>
      </w:r>
    </w:p>
    <w:p>
      <w:pPr>
        <w:spacing w:after="80" w:line="254" w:lineRule="auto"/>
      </w:pPr>
      <w:r>
        <w:rPr>
          <w:rFonts w:ascii="Arial" w:hAnsi="Arial" w:eastAsia="Arial"/>
          <w:b w:val="0"/>
          <w:i w:val="0"/>
          <w:color w:val="182033"/>
          <w:sz w:val="18"/>
        </w:rPr>
        <w:t>12.1 [AUTHORIZED ROLES] may request an immediate pause through [CHANNEL]. Provider will use reasonable efforts to pause items it controls and confirm what did or did not stop.</w:t>
      </w:r>
    </w:p>
    <w:p>
      <w:pPr>
        <w:spacing w:after="80" w:line="254" w:lineRule="auto"/>
      </w:pPr>
      <w:r>
        <w:rPr>
          <w:rFonts w:ascii="Arial" w:hAnsi="Arial" w:eastAsia="Arial"/>
          <w:b w:val="0"/>
          <w:i w:val="0"/>
          <w:color w:val="182033"/>
          <w:sz w:val="18"/>
        </w:rPr>
        <w:t>12.2 Content remains paused until [AUTHORIZED ROLE] approves resumption. Previously approved content is rechecked when timing or context changed materially.</w:t>
      </w:r>
    </w:p>
    <w:p>
      <w:pPr>
        <w:spacing w:after="80" w:line="254" w:lineRule="auto"/>
      </w:pPr>
      <w:r>
        <w:rPr>
          <w:rFonts w:ascii="Arial" w:hAnsi="Arial" w:eastAsia="Arial"/>
          <w:b w:val="0"/>
          <w:i w:val="0"/>
          <w:color w:val="182033"/>
          <w:sz w:val="18"/>
        </w:rPr>
        <w:t>12.3 A pause does not automatically cancel production, third-party commitments, or fees. Scope changes follow Section 4.</w:t>
      </w:r>
    </w:p>
    <w:p>
      <w:pPr>
        <w:keepNext/>
        <w:spacing w:before="300" w:after="120"/>
      </w:pPr>
      <w:r>
        <w:rPr>
          <w:rFonts w:ascii="Arial" w:hAnsi="Arial" w:eastAsia="Arial"/>
          <w:b/>
          <w:i w:val="0"/>
          <w:color w:val="A100FF"/>
          <w:sz w:val="17"/>
        </w:rPr>
        <w:t>RIGHTS AND RISK</w:t>
      </w:r>
    </w:p>
    <w:p>
      <w:pPr>
        <w:keepNext/>
        <w:spacing w:after="120"/>
      </w:pPr>
      <w:r>
        <w:rPr>
          <w:rFonts w:ascii="Arial" w:hAnsi="Arial" w:eastAsia="Arial"/>
          <w:b/>
          <w:i w:val="0"/>
          <w:color w:val="182033"/>
          <w:sz w:val="48"/>
        </w:rPr>
        <w:t>Content, data, compliance, and performance</w:t>
      </w:r>
    </w:p>
    <w:p>
      <w:pPr>
        <w:keepNext/>
        <w:spacing w:after="240"/>
      </w:pPr>
      <w:r>
        <w:rPr>
          <w:rFonts w:ascii="Arial" w:hAnsi="Arial" w:eastAsia="Arial"/>
          <w:b w:val="0"/>
          <w:i w:val="0"/>
          <w:color w:val="586272"/>
          <w:sz w:val="21"/>
        </w:rPr>
        <w:t>These clauses need close review because rights and remedies vary by content, tool, and jurisdiction.</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p>
      <w:pPr>
        <w:keepNext/>
        <w:spacing w:before="180" w:after="60"/>
      </w:pPr>
      <w:r>
        <w:rPr>
          <w:rFonts w:ascii="Arial" w:hAnsi="Arial" w:eastAsia="Arial"/>
          <w:b/>
          <w:i w:val="0"/>
          <w:color w:val="A100FF"/>
          <w:sz w:val="24"/>
        </w:rPr>
        <w:t xml:space="preserve">13. </w:t>
      </w:r>
      <w:r>
        <w:rPr>
          <w:rFonts w:ascii="Arial" w:hAnsi="Arial" w:eastAsia="Arial"/>
          <w:b/>
          <w:i w:val="0"/>
          <w:color w:val="182033"/>
          <w:sz w:val="24"/>
        </w:rPr>
        <w:t>AI-assisted tools and third-party services</w:t>
      </w:r>
    </w:p>
    <w:p>
      <w:pPr>
        <w:spacing w:after="80" w:line="254" w:lineRule="auto"/>
      </w:pPr>
      <w:r>
        <w:rPr>
          <w:rFonts w:ascii="Arial" w:hAnsi="Arial" w:eastAsia="Arial"/>
          <w:b w:val="0"/>
          <w:i w:val="0"/>
          <w:color w:val="182033"/>
          <w:sz w:val="18"/>
        </w:rPr>
        <w:t>13.1 AI-assisted production is [PERMITTED / PROHIBITED / LIMITED TO SCHEDULE A]. Provider applies human review before release and follows Section 7.</w:t>
      </w:r>
    </w:p>
    <w:p>
      <w:pPr>
        <w:spacing w:after="80" w:line="254" w:lineRule="auto"/>
      </w:pPr>
      <w:r>
        <w:rPr>
          <w:rFonts w:ascii="Arial" w:hAnsi="Arial" w:eastAsia="Arial"/>
          <w:b w:val="0"/>
          <w:i w:val="0"/>
          <w:color w:val="182033"/>
          <w:sz w:val="18"/>
        </w:rPr>
        <w:t>13.2 Provider will not enter Client confidential, personal, regulated, credential, or unreleased data into an AI service unless the tool and data are authorized and permitted by law and contract.</w:t>
      </w:r>
    </w:p>
    <w:p>
      <w:pPr>
        <w:spacing w:after="80" w:line="254" w:lineRule="auto"/>
      </w:pPr>
      <w:r>
        <w:rPr>
          <w:rFonts w:ascii="Arial" w:hAnsi="Arial" w:eastAsia="Arial"/>
          <w:b w:val="0"/>
          <w:i w:val="0"/>
          <w:color w:val="182033"/>
          <w:sz w:val="18"/>
        </w:rPr>
        <w:t>13.3 Provider uses reasonable care to verify claims, sources, permissions, disclosures, and brand conformity. Client remains responsible for Client-supplied facts, claims, and materials.</w:t>
      </w:r>
    </w:p>
    <w:p>
      <w:pPr>
        <w:spacing w:after="80" w:line="254" w:lineRule="auto"/>
      </w:pPr>
      <w:r>
        <w:rPr>
          <w:rFonts w:ascii="Arial" w:hAnsi="Arial" w:eastAsia="Arial"/>
          <w:b w:val="0"/>
          <w:i w:val="0"/>
          <w:color w:val="182033"/>
          <w:sz w:val="18"/>
        </w:rPr>
        <w:t>13.4 The Parties acknowledge that copyright or exclusive rights may not arise in purely AI-generated material. The Agreement transfers only rights Provider owns and may transfer.</w:t>
      </w:r>
    </w:p>
    <w:p>
      <w:pPr>
        <w:keepNext/>
        <w:spacing w:before="180" w:after="60"/>
      </w:pPr>
      <w:r>
        <w:rPr>
          <w:rFonts w:ascii="Arial" w:hAnsi="Arial" w:eastAsia="Arial"/>
          <w:b/>
          <w:i w:val="0"/>
          <w:color w:val="A100FF"/>
          <w:sz w:val="24"/>
        </w:rPr>
        <w:t xml:space="preserve">14. </w:t>
      </w:r>
      <w:r>
        <w:rPr>
          <w:rFonts w:ascii="Arial" w:hAnsi="Arial" w:eastAsia="Arial"/>
          <w:b/>
          <w:i w:val="0"/>
          <w:color w:val="182033"/>
          <w:sz w:val="24"/>
        </w:rPr>
        <w:t>Intellectual property and licenses</w:t>
      </w:r>
    </w:p>
    <w:p>
      <w:pPr>
        <w:spacing w:after="80" w:line="254" w:lineRule="auto"/>
      </w:pPr>
      <w:r>
        <w:rPr>
          <w:rFonts w:ascii="Arial" w:hAnsi="Arial" w:eastAsia="Arial"/>
          <w:b w:val="0"/>
          <w:i w:val="0"/>
          <w:color w:val="182033"/>
          <w:sz w:val="18"/>
        </w:rPr>
        <w:t>14.1 Client retains Client Materials and licenses them to Provider during the term only to perform the services. Client represents it has the needed rights and permissions.</w:t>
      </w:r>
    </w:p>
    <w:p>
      <w:pPr>
        <w:spacing w:after="80" w:line="254" w:lineRule="auto"/>
      </w:pPr>
      <w:r>
        <w:rPr>
          <w:rFonts w:ascii="Arial" w:hAnsi="Arial" w:eastAsia="Arial"/>
          <w:b w:val="0"/>
          <w:i w:val="0"/>
          <w:color w:val="182033"/>
          <w:sz w:val="18"/>
        </w:rPr>
        <w:t>14.2 After full payment, Provider assigns its transferable rights in final approved deliverables, excluding Agency Materials and Third-Party Materials. [ATTORNEY: TAILOR WORK-FOR-HIRE AND ASSIGNMENT LANGUAGE.]</w:t>
      </w:r>
    </w:p>
    <w:p>
      <w:pPr>
        <w:spacing w:after="80" w:line="254" w:lineRule="auto"/>
      </w:pPr>
      <w:r>
        <w:rPr>
          <w:rFonts w:ascii="Arial" w:hAnsi="Arial" w:eastAsia="Arial"/>
          <w:b w:val="0"/>
          <w:i w:val="0"/>
          <w:color w:val="182033"/>
          <w:sz w:val="18"/>
        </w:rPr>
        <w:t>14.3 Provider retains pre-existing and reusable methods, systems, prompts, templates, know-how, software, and tools. Embedded Agency Materials receive [COUNSEL-APPROVED LICENSE].</w:t>
      </w:r>
    </w:p>
    <w:p>
      <w:pPr>
        <w:spacing w:after="80" w:line="254" w:lineRule="auto"/>
      </w:pPr>
      <w:r>
        <w:rPr>
          <w:rFonts w:ascii="Arial" w:hAnsi="Arial" w:eastAsia="Arial"/>
          <w:b w:val="0"/>
          <w:i w:val="0"/>
          <w:color w:val="182033"/>
          <w:sz w:val="18"/>
        </w:rPr>
        <w:t>14.4 Fonts, stock assets, music, software, platform elements, and other Third-Party Materials remain subject to their licenses.</w:t>
      </w:r>
    </w:p>
    <w:p>
      <w:pPr>
        <w:spacing w:after="80" w:line="254" w:lineRule="auto"/>
      </w:pPr>
      <w:r>
        <w:rPr>
          <w:rFonts w:ascii="Arial" w:hAnsi="Arial" w:eastAsia="Arial"/>
          <w:b w:val="0"/>
          <w:i w:val="0"/>
          <w:color w:val="182033"/>
          <w:sz w:val="18"/>
        </w:rPr>
        <w:t>14.5 Unused drafts are [PROVIDER / CLIENT / OTHER] property. Provider portfolio use is [PERMITTED / PROHIBITED / REQUIRES WRITTEN PERMISSION].</w:t>
      </w:r>
    </w:p>
    <w:p>
      <w:pPr>
        <w:keepNext/>
        <w:spacing w:before="180" w:after="60"/>
      </w:pPr>
      <w:r>
        <w:rPr>
          <w:rFonts w:ascii="Arial" w:hAnsi="Arial" w:eastAsia="Arial"/>
          <w:b/>
          <w:i w:val="0"/>
          <w:color w:val="A100FF"/>
          <w:sz w:val="24"/>
        </w:rPr>
        <w:t xml:space="preserve">15. </w:t>
      </w:r>
      <w:r>
        <w:rPr>
          <w:rFonts w:ascii="Arial" w:hAnsi="Arial" w:eastAsia="Arial"/>
          <w:b/>
          <w:i w:val="0"/>
          <w:color w:val="182033"/>
          <w:sz w:val="24"/>
        </w:rPr>
        <w:t>Confidentiality, privacy, and data</w:t>
      </w:r>
    </w:p>
    <w:p>
      <w:pPr>
        <w:spacing w:after="80" w:line="254" w:lineRule="auto"/>
      </w:pPr>
      <w:r>
        <w:rPr>
          <w:rFonts w:ascii="Arial" w:hAnsi="Arial" w:eastAsia="Arial"/>
          <w:b w:val="0"/>
          <w:i w:val="0"/>
          <w:color w:val="182033"/>
          <w:sz w:val="18"/>
        </w:rPr>
        <w:t>15.1 Each receiving Party uses confidential information only for the Agreement, protects it, shares it only on a need-to-know basis, and returns or deletes it as Schedule D requires, subject to legal retention.</w:t>
      </w:r>
    </w:p>
    <w:p>
      <w:pPr>
        <w:spacing w:after="80" w:line="254" w:lineRule="auto"/>
      </w:pPr>
      <w:r>
        <w:rPr>
          <w:rFonts w:ascii="Arial" w:hAnsi="Arial" w:eastAsia="Arial"/>
          <w:b w:val="0"/>
          <w:i w:val="0"/>
          <w:color w:val="182033"/>
          <w:sz w:val="18"/>
        </w:rPr>
        <w:t>15.2 Confidential information excludes information documented as lawfully public, already known without restriction, independently developed, or lawfully received without duty.</w:t>
      </w:r>
    </w:p>
    <w:p>
      <w:pPr>
        <w:spacing w:after="80" w:line="254" w:lineRule="auto"/>
      </w:pPr>
      <w:r>
        <w:rPr>
          <w:rFonts w:ascii="Arial" w:hAnsi="Arial" w:eastAsia="Arial"/>
          <w:b w:val="0"/>
          <w:i w:val="0"/>
          <w:color w:val="182033"/>
          <w:sz w:val="18"/>
        </w:rPr>
        <w:t>15.3 If Provider processes personal data for Client, the Parties sign any required privacy or data-processing addendum before processing begins.</w:t>
      </w:r>
    </w:p>
    <w:p>
      <w:pPr>
        <w:spacing w:after="80" w:line="254" w:lineRule="auto"/>
      </w:pPr>
      <w:r>
        <w:rPr>
          <w:rFonts w:ascii="Arial" w:hAnsi="Arial" w:eastAsia="Arial"/>
          <w:b w:val="0"/>
          <w:i w:val="0"/>
          <w:color w:val="182033"/>
          <w:sz w:val="18"/>
        </w:rPr>
        <w:t>15.4 Legally required disclosure is limited to what is required, with notice where permitted.</w:t>
      </w:r>
    </w:p>
    <w:p>
      <w:pPr>
        <w:keepNext/>
        <w:spacing w:before="180" w:after="60"/>
      </w:pPr>
      <w:r>
        <w:rPr>
          <w:rFonts w:ascii="Arial" w:hAnsi="Arial" w:eastAsia="Arial"/>
          <w:b/>
          <w:i w:val="0"/>
          <w:color w:val="A100FF"/>
          <w:sz w:val="24"/>
        </w:rPr>
        <w:t xml:space="preserve">16. </w:t>
      </w:r>
      <w:r>
        <w:rPr>
          <w:rFonts w:ascii="Arial" w:hAnsi="Arial" w:eastAsia="Arial"/>
          <w:b/>
          <w:i w:val="0"/>
          <w:color w:val="182033"/>
          <w:sz w:val="24"/>
        </w:rPr>
        <w:t>Advertising, claims, and compliance</w:t>
      </w:r>
    </w:p>
    <w:p>
      <w:pPr>
        <w:spacing w:after="80" w:line="254" w:lineRule="auto"/>
      </w:pPr>
      <w:r>
        <w:rPr>
          <w:rFonts w:ascii="Arial" w:hAnsi="Arial" w:eastAsia="Arial"/>
          <w:b w:val="0"/>
          <w:i w:val="0"/>
          <w:color w:val="182033"/>
          <w:sz w:val="18"/>
        </w:rPr>
        <w:t>16.1 Client supplies and approves substantiation for claims, offers, prices, endorsements, testimonials, and regulated statements. Provider does not knowingly publish a claim missing required source or approval.</w:t>
      </w:r>
    </w:p>
    <w:p>
      <w:pPr>
        <w:spacing w:after="80" w:line="254" w:lineRule="auto"/>
      </w:pPr>
      <w:r>
        <w:rPr>
          <w:rFonts w:ascii="Arial" w:hAnsi="Arial" w:eastAsia="Arial"/>
          <w:b w:val="0"/>
          <w:i w:val="0"/>
          <w:color w:val="182033"/>
          <w:sz w:val="18"/>
        </w:rPr>
        <w:t>16.2 Provider implements approved disclosures and compliance instructions for the format. Each Party remains responsible for laws, rules, and platform terms applying directly to it.</w:t>
      </w:r>
    </w:p>
    <w:p>
      <w:pPr>
        <w:spacing w:after="80" w:line="254" w:lineRule="auto"/>
      </w:pPr>
      <w:r>
        <w:rPr>
          <w:rFonts w:ascii="Arial" w:hAnsi="Arial" w:eastAsia="Arial"/>
          <w:b w:val="0"/>
          <w:i w:val="0"/>
          <w:color w:val="182033"/>
          <w:sz w:val="18"/>
        </w:rPr>
        <w:t>16.3 Health, financial, legal, employment, alcohol, gambling, political, children's, and other regulated content may require an addendum, specialist review, or exclusion.</w:t>
      </w:r>
    </w:p>
    <w:p>
      <w:pPr>
        <w:keepNext/>
        <w:spacing w:before="180" w:after="60"/>
      </w:pPr>
      <w:r>
        <w:rPr>
          <w:rFonts w:ascii="Arial" w:hAnsi="Arial" w:eastAsia="Arial"/>
          <w:b/>
          <w:i w:val="0"/>
          <w:color w:val="A100FF"/>
          <w:sz w:val="24"/>
        </w:rPr>
        <w:t xml:space="preserve">17. </w:t>
      </w:r>
      <w:r>
        <w:rPr>
          <w:rFonts w:ascii="Arial" w:hAnsi="Arial" w:eastAsia="Arial"/>
          <w:b/>
          <w:i w:val="0"/>
          <w:color w:val="182033"/>
          <w:sz w:val="24"/>
        </w:rPr>
        <w:t>Performance, warranties, and risk allocation</w:t>
      </w:r>
    </w:p>
    <w:p>
      <w:pPr>
        <w:spacing w:after="80" w:line="254" w:lineRule="auto"/>
      </w:pPr>
      <w:r>
        <w:rPr>
          <w:rFonts w:ascii="Arial" w:hAnsi="Arial" w:eastAsia="Arial"/>
          <w:b w:val="0"/>
          <w:i w:val="0"/>
          <w:color w:val="182033"/>
          <w:sz w:val="18"/>
        </w:rPr>
        <w:t>17.1 Provider performs with [COUNSEL-APPROVED PROFESSIONAL STANDARD]. It does not control algorithms, distribution, audience behavior, competitors, platform availability, Client delays, or third-party enforcement.</w:t>
      </w:r>
    </w:p>
    <w:p>
      <w:pPr>
        <w:spacing w:after="80" w:line="254" w:lineRule="auto"/>
      </w:pPr>
      <w:r>
        <w:rPr>
          <w:rFonts w:ascii="Arial" w:hAnsi="Arial" w:eastAsia="Arial"/>
          <w:b w:val="0"/>
          <w:i w:val="0"/>
          <w:color w:val="182033"/>
          <w:sz w:val="18"/>
        </w:rPr>
        <w:t>17.2 Unless Schedule A states a counsel-approved guarantee, Provider does not guarantee reach, engagement, followers, traffic, leads, revenue, rankings, virality, account availability, or platform approval.</w:t>
      </w:r>
    </w:p>
    <w:p>
      <w:pPr>
        <w:spacing w:after="80" w:line="254" w:lineRule="auto"/>
      </w:pPr>
      <w:r>
        <w:rPr>
          <w:rFonts w:ascii="Arial" w:hAnsi="Arial" w:eastAsia="Arial"/>
          <w:b w:val="0"/>
          <w:i w:val="0"/>
          <w:color w:val="182033"/>
          <w:sz w:val="18"/>
        </w:rPr>
        <w:t>17.3 LIABILITY CAP, EXCLUDED DAMAGES, INDEMNITY, INSURANCE, WARRANTIES, AND CLAIM PROCEDURE: [ATTORNEY MUST INSERT OR APPROVE COMPLETE TERMS. DO NOT SIGN WITH THIS PLACEHOLDER.]</w:t>
      </w:r>
    </w:p>
    <w:p>
      <w:pPr>
        <w:keepNext/>
        <w:spacing w:before="300" w:after="120"/>
      </w:pPr>
      <w:r>
        <w:rPr>
          <w:rFonts w:ascii="Arial" w:hAnsi="Arial" w:eastAsia="Arial"/>
          <w:b/>
          <w:i w:val="0"/>
          <w:color w:val="A100FF"/>
          <w:sz w:val="17"/>
        </w:rPr>
        <w:t>EXIT AND SIGNATURE</w:t>
      </w:r>
    </w:p>
    <w:p>
      <w:pPr>
        <w:keepNext/>
        <w:spacing w:after="120"/>
      </w:pPr>
      <w:r>
        <w:rPr>
          <w:rFonts w:ascii="Arial" w:hAnsi="Arial" w:eastAsia="Arial"/>
          <w:b/>
          <w:i w:val="0"/>
          <w:color w:val="182033"/>
          <w:sz w:val="48"/>
        </w:rPr>
        <w:t>Termination, handoff, and general terms</w:t>
      </w:r>
    </w:p>
    <w:p>
      <w:pPr>
        <w:keepNext/>
        <w:spacing w:after="240"/>
      </w:pPr>
      <w:r>
        <w:rPr>
          <w:rFonts w:ascii="Arial" w:hAnsi="Arial" w:eastAsia="Arial"/>
          <w:b w:val="0"/>
          <w:i w:val="0"/>
          <w:color w:val="586272"/>
          <w:sz w:val="21"/>
        </w:rPr>
        <w:t>Finish with a clean operational exit and counsel-approved dispute terms.</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p>
      <w:pPr>
        <w:keepNext/>
        <w:spacing w:before="180" w:after="60"/>
      </w:pPr>
      <w:r>
        <w:rPr>
          <w:rFonts w:ascii="Arial" w:hAnsi="Arial" w:eastAsia="Arial"/>
          <w:b/>
          <w:i w:val="0"/>
          <w:color w:val="A100FF"/>
          <w:sz w:val="24"/>
        </w:rPr>
        <w:t xml:space="preserve">18. </w:t>
      </w:r>
      <w:r>
        <w:rPr>
          <w:rFonts w:ascii="Arial" w:hAnsi="Arial" w:eastAsia="Arial"/>
          <w:b/>
          <w:i w:val="0"/>
          <w:color w:val="182033"/>
          <w:sz w:val="24"/>
        </w:rPr>
        <w:t>Termination, suspension, and handoff</w:t>
      </w:r>
    </w:p>
    <w:p>
      <w:pPr>
        <w:spacing w:after="80" w:line="254" w:lineRule="auto"/>
      </w:pPr>
      <w:r>
        <w:rPr>
          <w:rFonts w:ascii="Arial" w:hAnsi="Arial" w:eastAsia="Arial"/>
          <w:b w:val="0"/>
          <w:i w:val="0"/>
          <w:color w:val="182033"/>
          <w:sz w:val="18"/>
        </w:rPr>
        <w:t>18.1 Convenience termination: [INSERT WHO MAY TERMINATE, NOTICE, METHOD, EFFECTIVE DATE, AND COUNSEL-APPROVED FIXED-TERM CONSEQUENCE].</w:t>
      </w:r>
    </w:p>
    <w:p>
      <w:pPr>
        <w:spacing w:after="80" w:line="254" w:lineRule="auto"/>
      </w:pPr>
      <w:r>
        <w:rPr>
          <w:rFonts w:ascii="Arial" w:hAnsi="Arial" w:eastAsia="Arial"/>
          <w:b w:val="0"/>
          <w:i w:val="0"/>
          <w:color w:val="182033"/>
          <w:sz w:val="18"/>
        </w:rPr>
        <w:t>18.2 Breach termination: [INSERT COUNSEL-APPROVED NOTICE, CURE, IMMEDIATE EVENTS, AND INSOLVENCY TERMS].</w:t>
      </w:r>
    </w:p>
    <w:p>
      <w:pPr>
        <w:spacing w:after="80" w:line="254" w:lineRule="auto"/>
      </w:pPr>
      <w:r>
        <w:rPr>
          <w:rFonts w:ascii="Arial" w:hAnsi="Arial" w:eastAsia="Arial"/>
          <w:b w:val="0"/>
          <w:i w:val="0"/>
          <w:color w:val="182033"/>
          <w:sz w:val="18"/>
        </w:rPr>
        <w:t>18.3 Provider may pause affected work for [COUNSEL-APPROVED SECURITY, ILLEGAL REQUEST, MATERIAL NONPAYMENT, OR MISSING ACCESS EVENTS], after required notice and cure.</w:t>
      </w:r>
    </w:p>
    <w:p>
      <w:pPr>
        <w:spacing w:after="80" w:line="254" w:lineRule="auto"/>
      </w:pPr>
      <w:r>
        <w:rPr>
          <w:rFonts w:ascii="Arial" w:hAnsi="Arial" w:eastAsia="Arial"/>
          <w:b w:val="0"/>
          <w:i w:val="0"/>
          <w:color w:val="182033"/>
          <w:sz w:val="18"/>
        </w:rPr>
        <w:t>18.4 The Parties complete Schedule D, including fees, ads, drafts, queued posts, files, reports, account roles, data return or deletion, access removal, and surviving duties.</w:t>
      </w:r>
    </w:p>
    <w:p>
      <w:pPr>
        <w:keepNext/>
        <w:spacing w:before="180" w:after="60"/>
      </w:pPr>
      <w:r>
        <w:rPr>
          <w:rFonts w:ascii="Arial" w:hAnsi="Arial" w:eastAsia="Arial"/>
          <w:b/>
          <w:i w:val="0"/>
          <w:color w:val="A100FF"/>
          <w:sz w:val="24"/>
        </w:rPr>
        <w:t xml:space="preserve">19. </w:t>
      </w:r>
      <w:r>
        <w:rPr>
          <w:rFonts w:ascii="Arial" w:hAnsi="Arial" w:eastAsia="Arial"/>
          <w:b/>
          <w:i w:val="0"/>
          <w:color w:val="182033"/>
          <w:sz w:val="24"/>
        </w:rPr>
        <w:t>Independent contractor and personnel</w:t>
      </w:r>
    </w:p>
    <w:p>
      <w:pPr>
        <w:spacing w:after="80" w:line="254" w:lineRule="auto"/>
      </w:pPr>
      <w:r>
        <w:rPr>
          <w:rFonts w:ascii="Arial" w:hAnsi="Arial" w:eastAsia="Arial"/>
          <w:b w:val="0"/>
          <w:i w:val="0"/>
          <w:color w:val="182033"/>
          <w:sz w:val="18"/>
        </w:rPr>
        <w:t>19.1 Provider is an independent contractor with no authority to bind Client except as Schedule A permits. No employment, partnership, franchise, or joint venture is created.</w:t>
      </w:r>
    </w:p>
    <w:p>
      <w:pPr>
        <w:spacing w:after="80" w:line="254" w:lineRule="auto"/>
      </w:pPr>
      <w:r>
        <w:rPr>
          <w:rFonts w:ascii="Arial" w:hAnsi="Arial" w:eastAsia="Arial"/>
          <w:b w:val="0"/>
          <w:i w:val="0"/>
          <w:color w:val="182033"/>
          <w:sz w:val="18"/>
        </w:rPr>
        <w:t>19.2 Provider may use personnel or subcontractors [AS PERMITTED / WITH NOTICE / WITH CONSENT], remains responsible for their work, and imposes appropriate confidentiality, security, rights, and compliance duties.</w:t>
      </w:r>
    </w:p>
    <w:p>
      <w:pPr>
        <w:spacing w:after="80" w:line="254" w:lineRule="auto"/>
      </w:pPr>
      <w:r>
        <w:rPr>
          <w:rFonts w:ascii="Arial" w:hAnsi="Arial" w:eastAsia="Arial"/>
          <w:b w:val="0"/>
          <w:i w:val="0"/>
          <w:color w:val="182033"/>
          <w:sz w:val="18"/>
        </w:rPr>
        <w:t>19.3 Non-solicitation, worker classification, employment, or restrictive-covenant terms: [ATTORNEY TO INSERT OR MARK NOT APPLICABLE].</w:t>
      </w:r>
    </w:p>
    <w:p>
      <w:pPr>
        <w:keepNext/>
        <w:spacing w:before="180" w:after="60"/>
      </w:pPr>
      <w:r>
        <w:rPr>
          <w:rFonts w:ascii="Arial" w:hAnsi="Arial" w:eastAsia="Arial"/>
          <w:b/>
          <w:i w:val="0"/>
          <w:color w:val="A100FF"/>
          <w:sz w:val="24"/>
        </w:rPr>
        <w:t xml:space="preserve">20. </w:t>
      </w:r>
      <w:r>
        <w:rPr>
          <w:rFonts w:ascii="Arial" w:hAnsi="Arial" w:eastAsia="Arial"/>
          <w:b/>
          <w:i w:val="0"/>
          <w:color w:val="182033"/>
          <w:sz w:val="24"/>
        </w:rPr>
        <w:t>General terms</w:t>
      </w:r>
    </w:p>
    <w:p>
      <w:pPr>
        <w:spacing w:after="80" w:line="254" w:lineRule="auto"/>
      </w:pPr>
      <w:r>
        <w:rPr>
          <w:rFonts w:ascii="Arial" w:hAnsi="Arial" w:eastAsia="Arial"/>
          <w:b w:val="0"/>
          <w:i w:val="0"/>
          <w:color w:val="182033"/>
          <w:sz w:val="18"/>
        </w:rPr>
        <w:t>20.1 Formal notices go to [ADDRESSES AND METHODS]. Operational approvals may use Schedule A systems but are not legal notice unless stated.</w:t>
      </w:r>
    </w:p>
    <w:p>
      <w:pPr>
        <w:spacing w:after="80" w:line="254" w:lineRule="auto"/>
      </w:pPr>
      <w:r>
        <w:rPr>
          <w:rFonts w:ascii="Arial" w:hAnsi="Arial" w:eastAsia="Arial"/>
          <w:b w:val="0"/>
          <w:i w:val="0"/>
          <w:color w:val="182033"/>
          <w:sz w:val="18"/>
        </w:rPr>
        <w:t>20.2 Assignment, waiver, severability, survival, force majeure, interpretation, electronic signatures, counterparts, and entire agreement: [ATTORNEY TO INSERT OR CONFIRM].</w:t>
      </w:r>
    </w:p>
    <w:p>
      <w:pPr>
        <w:spacing w:after="80" w:line="254" w:lineRule="auto"/>
      </w:pPr>
      <w:r>
        <w:rPr>
          <w:rFonts w:ascii="Arial" w:hAnsi="Arial" w:eastAsia="Arial"/>
          <w:b w:val="0"/>
          <w:i w:val="0"/>
          <w:color w:val="182033"/>
          <w:sz w:val="18"/>
        </w:rPr>
        <w:t>20.3 Governing law, venue, negotiation, mediation, arbitration, jury waiver, and fees: [ATTORNEY TO INSERT OR MARK NOT APPLICABLE].</w:t>
      </w:r>
    </w:p>
    <w:p>
      <w:pPr>
        <w:spacing w:after="80" w:line="254" w:lineRule="auto"/>
      </w:pPr>
      <w:r>
        <w:rPr>
          <w:rFonts w:ascii="Arial" w:hAnsi="Arial" w:eastAsia="Arial"/>
          <w:b w:val="0"/>
          <w:i w:val="0"/>
          <w:color w:val="182033"/>
          <w:sz w:val="18"/>
        </w:rPr>
        <w:t>20.4 This Agreement, signed schedules, addenda, and change orders are the complete agreement on the services and replace prior discussions on that subject.</w:t>
      </w:r>
    </w:p>
    <w:tbl>
      <w:tblPr>
        <w:tblW w:type="auto" w:w="0"/>
        <w:tblLayout w:type="fixed"/>
        <w:tblLook w:firstColumn="1" w:firstRow="1" w:lastColumn="0" w:lastRow="0" w:noHBand="0" w:noVBand="1" w:val="04A0"/>
      </w:tblPr>
      <w:tblGrid>
        <w:gridCol w:w="10282"/>
      </w:tblGrid>
      <w:tr>
        <w:tc>
          <w:tcPr>
            <w:tcW w:type="dxa" w:w="10282"/>
            <w:shd w:fill="FFF4D6"/>
            <w:tcMar>
              <w:top w:w="150" w:type="dxa"/>
              <w:start w:w="150" w:type="dxa"/>
              <w:bottom w:w="150" w:type="dxa"/>
              <w:end w:w="150" w:type="dxa"/>
            </w:tcMar>
          </w:tcPr>
          <w:p>
            <w:pPr>
              <w:spacing w:after="60"/>
            </w:pPr>
            <w:r>
              <w:rPr>
                <w:rFonts w:ascii="Arial" w:hAnsi="Arial" w:eastAsia="Arial"/>
                <w:b/>
                <w:i w:val="0"/>
                <w:color w:val="7216A8"/>
                <w:sz w:val="16"/>
              </w:rPr>
              <w:t>DO NOT SIGN YET</w:t>
            </w:r>
          </w:p>
          <w:p>
            <w:pPr>
              <w:spacing w:after="0"/>
            </w:pPr>
            <w:r>
              <w:rPr>
                <w:rFonts w:ascii="Arial" w:hAnsi="Arial" w:eastAsia="Arial"/>
                <w:b w:val="0"/>
                <w:i w:val="0"/>
                <w:color w:val="182033"/>
                <w:sz w:val="17"/>
              </w:rPr>
              <w:t>Sections 17 through 20 contain attorney-review fields. They are not complete risk-allocation or dispute provisions until licensed local counsel replaces or approves them.</w:t>
            </w:r>
          </w:p>
        </w:tc>
      </w:tr>
    </w:tbl>
    <w:p>
      <w:pPr>
        <w:spacing w:after="0"/>
      </w:pPr>
    </w:p>
    <w:p>
      <w:r>
        <w:br w:type="page"/>
      </w:r>
    </w:p>
    <w:p>
      <w:pPr>
        <w:pStyle w:val="Heading1"/>
      </w:pPr>
      <w:r>
        <w:t>Signatures</w:t>
      </w:r>
    </w:p>
    <w:tbl>
      <w:tblPr>
        <w:tblStyle w:val="TableGrid"/>
        <w:tblW w:type="auto" w:w="0"/>
        <w:jc w:val="center"/>
        <w:tblLayout w:type="fixed"/>
        <w:tblLook w:firstColumn="1" w:firstRow="1" w:lastColumn="0" w:lastRow="0" w:noHBand="0" w:noVBand="1" w:val="04A0"/>
      </w:tblPr>
      <w:tblGrid>
        <w:gridCol w:w="5141"/>
        <w:gridCol w:w="5141"/>
      </w:tblGrid>
      <w:tr>
        <w:trPr>
          <w:cantSplit/>
          <w:tblHeader w:val="true"/>
        </w:trPr>
        <w:tc>
          <w:tcPr>
            <w:tcW w:type="dxa" w:w="496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Provider</w:t>
            </w:r>
          </w:p>
        </w:tc>
        <w:tc>
          <w:tcPr>
            <w:tcW w:type="dxa" w:w="496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Client</w:t>
            </w:r>
          </w:p>
        </w:tc>
      </w:tr>
      <w:tr>
        <w:trPr>
          <w:cantSplit/>
        </w:trPr>
        <w:tc>
          <w:tcPr>
            <w:tcW w:type="dxa" w:w="496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Legal name: [PROVIDER LEGAL NAME]</w:t>
            </w:r>
          </w:p>
        </w:tc>
        <w:tc>
          <w:tcPr>
            <w:tcW w:type="dxa" w:w="496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Legal name: [CLIENT LEGAL NAME]</w:t>
            </w:r>
          </w:p>
        </w:tc>
      </w:tr>
      <w:tr>
        <w:trPr>
          <w:cantSplit/>
        </w:trPr>
        <w:tc>
          <w:tcPr>
            <w:tcW w:type="dxa" w:w="496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By: ______________________________</w:t>
            </w:r>
          </w:p>
        </w:tc>
        <w:tc>
          <w:tcPr>
            <w:tcW w:type="dxa" w:w="496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By: ______________________________</w:t>
            </w:r>
          </w:p>
        </w:tc>
      </w:tr>
      <w:tr>
        <w:trPr>
          <w:cantSplit/>
        </w:trPr>
        <w:tc>
          <w:tcPr>
            <w:tcW w:type="dxa" w:w="496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 [NAME]</w:t>
            </w:r>
          </w:p>
        </w:tc>
        <w:tc>
          <w:tcPr>
            <w:tcW w:type="dxa" w:w="496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 [NAME]</w:t>
            </w:r>
          </w:p>
        </w:tc>
      </w:tr>
      <w:tr>
        <w:trPr>
          <w:cantSplit/>
        </w:trPr>
        <w:tc>
          <w:tcPr>
            <w:tcW w:type="dxa" w:w="496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Title: [TITLE]</w:t>
            </w:r>
          </w:p>
        </w:tc>
        <w:tc>
          <w:tcPr>
            <w:tcW w:type="dxa" w:w="496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Title: [TITLE]</w:t>
            </w:r>
          </w:p>
        </w:tc>
      </w:tr>
      <w:tr>
        <w:trPr>
          <w:cantSplit/>
        </w:trPr>
        <w:tc>
          <w:tcPr>
            <w:tcW w:type="dxa" w:w="496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 ____________________________</w:t>
            </w:r>
          </w:p>
        </w:tc>
        <w:tc>
          <w:tcPr>
            <w:tcW w:type="dxa" w:w="496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 ____________________________</w:t>
            </w:r>
          </w:p>
        </w:tc>
      </w:tr>
      <w:tr>
        <w:trPr>
          <w:cantSplit/>
        </w:trPr>
        <w:tc>
          <w:tcPr>
            <w:tcW w:type="dxa" w:w="496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Notice email: [EMAIL]</w:t>
            </w:r>
          </w:p>
        </w:tc>
        <w:tc>
          <w:tcPr>
            <w:tcW w:type="dxa" w:w="496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Notice email: [EMAIL]</w:t>
            </w:r>
          </w:p>
        </w:tc>
      </w:tr>
    </w:tbl>
    <w:p>
      <w:pPr>
        <w:spacing w:after="0"/>
      </w:pPr>
    </w:p>
    <w:p>
      <w:r>
        <w:br w:type="page"/>
      </w:r>
    </w:p>
    <w:p>
      <w:pPr>
        <w:keepNext/>
        <w:spacing w:before="300" w:after="120"/>
      </w:pPr>
      <w:r>
        <w:rPr>
          <w:rFonts w:ascii="Arial" w:hAnsi="Arial" w:eastAsia="Arial"/>
          <w:b/>
          <w:i w:val="0"/>
          <w:color w:val="A100FF"/>
          <w:sz w:val="17"/>
        </w:rPr>
        <w:t>SCHEDULE A</w:t>
      </w:r>
    </w:p>
    <w:p>
      <w:pPr>
        <w:keepNext/>
        <w:spacing w:after="120"/>
      </w:pPr>
      <w:r>
        <w:rPr>
          <w:rFonts w:ascii="Arial" w:hAnsi="Arial" w:eastAsia="Arial"/>
          <w:b/>
          <w:i w:val="0"/>
          <w:color w:val="182033"/>
          <w:sz w:val="48"/>
        </w:rPr>
        <w:t>Commercial scope and service plan</w:t>
      </w:r>
    </w:p>
    <w:p>
      <w:pPr>
        <w:keepNext/>
        <w:spacing w:after="240"/>
      </w:pPr>
      <w:r>
        <w:rPr>
          <w:rFonts w:ascii="Arial" w:hAnsi="Arial" w:eastAsia="Arial"/>
          <w:b w:val="0"/>
          <w:i w:val="0"/>
          <w:color w:val="586272"/>
          <w:sz w:val="21"/>
        </w:rPr>
        <w:t>Complete every applicable field. Write excluded rather than leaving a material service blank.</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tbl>
      <w:tblPr>
        <w:tblStyle w:val="TableGrid"/>
        <w:tblW w:type="auto" w:w="0"/>
        <w:jc w:val="center"/>
        <w:tblLayout w:type="fixed"/>
        <w:tblLook w:firstColumn="1" w:firstRow="1" w:lastColumn="0" w:lastRow="0" w:noHBand="0" w:noVBand="1" w:val="04A0"/>
      </w:tblPr>
      <w:tblGrid>
        <w:gridCol w:w="5141"/>
        <w:gridCol w:w="5141"/>
      </w:tblGrid>
      <w:tr>
        <w:trPr>
          <w:cantSplit/>
          <w:tblHeader w:val="true"/>
        </w:trPr>
        <w:tc>
          <w:tcPr>
            <w:tcW w:type="dxa" w:w="338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Field</w:t>
            </w:r>
          </w:p>
        </w:tc>
        <w:tc>
          <w:tcPr>
            <w:tcW w:type="dxa" w:w="655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Agreed term</w:t>
            </w:r>
          </w:p>
        </w:tc>
      </w:tr>
      <w:tr>
        <w:trPr>
          <w:cantSplit/>
        </w:trPr>
        <w:tc>
          <w:tcPr>
            <w:tcW w:type="dxa" w:w="33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Client brand, location, or unit</w:t>
            </w:r>
          </w:p>
        </w:tc>
        <w:tc>
          <w:tcPr>
            <w:tcW w:type="dxa" w:w="65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33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Service period</w:t>
            </w:r>
          </w:p>
        </w:tc>
        <w:tc>
          <w:tcPr>
            <w:tcW w:type="dxa" w:w="65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[START / END / RENEWAL]</w:t>
            </w:r>
          </w:p>
        </w:tc>
      </w:tr>
      <w:tr>
        <w:trPr>
          <w:cantSplit/>
        </w:trPr>
        <w:tc>
          <w:tcPr>
            <w:tcW w:type="dxa" w:w="33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Fee and payment timing</w:t>
            </w:r>
          </w:p>
        </w:tc>
        <w:tc>
          <w:tcPr>
            <w:tcW w:type="dxa" w:w="65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[AMOUNT / CURRENCY / INVOICE / DUE]</w:t>
            </w:r>
          </w:p>
        </w:tc>
      </w:tr>
      <w:tr>
        <w:trPr>
          <w:cantSplit/>
        </w:trPr>
        <w:tc>
          <w:tcPr>
            <w:tcW w:type="dxa" w:w="33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Primary business objective</w:t>
            </w:r>
          </w:p>
        </w:tc>
        <w:tc>
          <w:tcPr>
            <w:tcW w:type="dxa" w:w="65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33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Job assigned to organic social</w:t>
            </w:r>
          </w:p>
        </w:tc>
        <w:tc>
          <w:tcPr>
            <w:tcW w:type="dxa" w:w="65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[PRESENCE / VALIDATION / DISCOVERY / SALES / CARE / RECRUITING / PAID SUPPORT / DEMAND]</w:t>
            </w:r>
          </w:p>
        </w:tc>
      </w:tr>
      <w:tr>
        <w:trPr>
          <w:cantSplit/>
        </w:trPr>
        <w:tc>
          <w:tcPr>
            <w:tcW w:type="dxa" w:w="33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Reporting cadence and meeting</w:t>
            </w:r>
          </w:p>
        </w:tc>
        <w:tc>
          <w:tcPr>
            <w:tcW w:type="dxa" w:w="65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33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Approval system and service level</w:t>
            </w:r>
          </w:p>
        </w:tc>
        <w:tc>
          <w:tcPr>
            <w:tcW w:type="dxa" w:w="65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33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Agency account lead</w:t>
            </w:r>
          </w:p>
        </w:tc>
        <w:tc>
          <w:tcPr>
            <w:tcW w:type="dxa" w:w="65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 / CONTACT]</w:t>
            </w:r>
          </w:p>
        </w:tc>
      </w:tr>
      <w:tr>
        <w:trPr>
          <w:cantSplit/>
        </w:trPr>
        <w:tc>
          <w:tcPr>
            <w:tcW w:type="dxa" w:w="33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Client reviewer / approver / backup</w:t>
            </w:r>
          </w:p>
        </w:tc>
        <w:tc>
          <w:tcPr>
            <w:tcW w:type="dxa" w:w="65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[NAMES / CONTACTS]</w:t>
            </w:r>
          </w:p>
        </w:tc>
      </w:tr>
      <w:tr>
        <w:trPr>
          <w:cantSplit/>
        </w:trPr>
        <w:tc>
          <w:tcPr>
            <w:tcW w:type="dxa" w:w="33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Fact resolver / crisis / security contacts</w:t>
            </w:r>
          </w:p>
        </w:tc>
        <w:tc>
          <w:tcPr>
            <w:tcW w:type="dxa" w:w="65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[NAMES / CONTACTS]</w:t>
            </w:r>
          </w:p>
        </w:tc>
      </w:tr>
    </w:tbl>
    <w:p>
      <w:pPr>
        <w:spacing w:after="0"/>
      </w:pPr>
    </w:p>
    <w:p>
      <w:pPr>
        <w:pStyle w:val="Heading2"/>
      </w:pPr>
      <w:r>
        <w:t>Platform and deliverable matrix</w:t>
      </w:r>
    </w:p>
    <w:tbl>
      <w:tblPr>
        <w:tblStyle w:val="TableGrid"/>
        <w:tblW w:type="auto" w:w="0"/>
        <w:jc w:val="center"/>
        <w:tblLayout w:type="fixed"/>
        <w:tblLook w:firstColumn="1" w:firstRow="1" w:lastColumn="0" w:lastRow="0" w:noHBand="0" w:noVBand="1" w:val="04A0"/>
      </w:tblPr>
      <w:tblGrid>
        <w:gridCol w:w="1714"/>
        <w:gridCol w:w="1714"/>
        <w:gridCol w:w="1714"/>
        <w:gridCol w:w="1714"/>
        <w:gridCol w:w="1714"/>
        <w:gridCol w:w="1714"/>
      </w:tblGrid>
      <w:tr>
        <w:trPr>
          <w:cantSplit/>
          <w:tblHeader w:val="true"/>
        </w:trPr>
        <w:tc>
          <w:tcPr>
            <w:tcW w:type="dxa" w:w="144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Account</w:t>
            </w:r>
          </w:p>
        </w:tc>
        <w:tc>
          <w:tcPr>
            <w:tcW w:type="dxa" w:w="208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Formats</w:t>
            </w:r>
          </w:p>
        </w:tc>
        <w:tc>
          <w:tcPr>
            <w:tcW w:type="dxa" w:w="64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Qty</w:t>
            </w:r>
          </w:p>
        </w:tc>
        <w:tc>
          <w:tcPr>
            <w:tcW w:type="dxa" w:w="158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Source</w:t>
            </w:r>
          </w:p>
        </w:tc>
        <w:tc>
          <w:tcPr>
            <w:tcW w:type="dxa" w:w="194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Publish duty</w:t>
            </w:r>
          </w:p>
        </w:tc>
        <w:tc>
          <w:tcPr>
            <w:tcW w:type="dxa" w:w="144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Approver</w:t>
            </w:r>
          </w:p>
        </w:tc>
      </w:tr>
      <w:tr>
        <w:trPr>
          <w:cantSplit/>
        </w:trPr>
        <w:tc>
          <w:tcPr>
            <w:tcW w:type="dxa" w:w="14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[Facebook Page]</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[Static / carousel / video]</w:t>
            </w:r>
          </w:p>
        </w:tc>
        <w:tc>
          <w:tcPr>
            <w:tcW w:type="dxa" w:w="6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[Agency / Client]</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[Draft / schedule / publish]</w:t>
            </w:r>
          </w:p>
        </w:tc>
        <w:tc>
          <w:tcPr>
            <w:tcW w:type="dxa" w:w="14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r>
      <w:tr>
        <w:trPr>
          <w:cantSplit/>
        </w:trPr>
        <w:tc>
          <w:tcPr>
            <w:tcW w:type="dxa" w:w="14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[Instagram]</w:t>
            </w:r>
          </w:p>
        </w:tc>
        <w:tc>
          <w:tcPr>
            <w:tcW w:type="dxa" w:w="208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[Static / carousel / reel / story]</w:t>
            </w:r>
          </w:p>
        </w:tc>
        <w:tc>
          <w:tcPr>
            <w:tcW w:type="dxa" w:w="6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[Agency / Client]</w:t>
            </w:r>
          </w:p>
        </w:tc>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[Draft / schedule / publish]</w:t>
            </w:r>
          </w:p>
        </w:tc>
        <w:tc>
          <w:tcPr>
            <w:tcW w:type="dxa" w:w="14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r>
      <w:tr>
        <w:trPr>
          <w:cantSplit/>
        </w:trPr>
        <w:tc>
          <w:tcPr>
            <w:tcW w:type="dxa" w:w="14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[LinkedIn]</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[Post / article / document / video]</w:t>
            </w:r>
          </w:p>
        </w:tc>
        <w:tc>
          <w:tcPr>
            <w:tcW w:type="dxa" w:w="6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[Agency / Client]</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[Draft / schedule / publish]</w:t>
            </w:r>
          </w:p>
        </w:tc>
        <w:tc>
          <w:tcPr>
            <w:tcW w:type="dxa" w:w="14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r>
      <w:tr>
        <w:trPr>
          <w:cantSplit/>
        </w:trPr>
        <w:tc>
          <w:tcPr>
            <w:tcW w:type="dxa" w:w="14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[X]</w:t>
            </w:r>
          </w:p>
        </w:tc>
        <w:tc>
          <w:tcPr>
            <w:tcW w:type="dxa" w:w="208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[Post / thread / media]</w:t>
            </w:r>
          </w:p>
        </w:tc>
        <w:tc>
          <w:tcPr>
            <w:tcW w:type="dxa" w:w="6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[Agency / Client]</w:t>
            </w:r>
          </w:p>
        </w:tc>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[Draft / schedule / publish]</w:t>
            </w:r>
          </w:p>
        </w:tc>
        <w:tc>
          <w:tcPr>
            <w:tcW w:type="dxa" w:w="14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r>
      <w:tr>
        <w:trPr>
          <w:cantSplit/>
        </w:trPr>
        <w:tc>
          <w:tcPr>
            <w:tcW w:type="dxa" w:w="14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[Other]</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6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14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r>
    </w:tbl>
    <w:p>
      <w:pPr>
        <w:spacing w:after="0"/>
      </w:pPr>
    </w:p>
    <w:p>
      <w:pPr>
        <w:pStyle w:val="Heading2"/>
      </w:pPr>
      <w:r>
        <w:t>Included services and exclusions</w:t>
      </w:r>
    </w:p>
    <w:tbl>
      <w:tblPr>
        <w:tblStyle w:val="TableGrid"/>
        <w:tblW w:type="auto" w:w="0"/>
        <w:jc w:val="center"/>
        <w:tblLayout w:type="fixed"/>
        <w:tblLook w:firstColumn="1" w:firstRow="1" w:lastColumn="0" w:lastRow="0" w:noHBand="0" w:noVBand="1" w:val="04A0"/>
      </w:tblPr>
      <w:tblGrid>
        <w:gridCol w:w="3427"/>
        <w:gridCol w:w="3427"/>
        <w:gridCol w:w="3427"/>
      </w:tblGrid>
      <w:tr>
        <w:trPr>
          <w:cantSplit/>
          <w:tblHeader w:val="true"/>
        </w:trPr>
        <w:tc>
          <w:tcPr>
            <w:tcW w:type="dxa" w:w="244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Service</w:t>
            </w:r>
          </w:p>
        </w:tc>
        <w:tc>
          <w:tcPr>
            <w:tcW w:type="dxa" w:w="374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Included scope</w:t>
            </w:r>
          </w:p>
        </w:tc>
        <w:tc>
          <w:tcPr>
            <w:tcW w:type="dxa" w:w="381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Exclusion or addendum</w:t>
            </w:r>
          </w:p>
        </w:tc>
      </w:tr>
      <w:tr>
        <w:trPr>
          <w:cantSplit/>
        </w:trPr>
        <w:tc>
          <w:tcPr>
            <w:tcW w:type="dxa" w:w="24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Strategy and planning</w:t>
            </w:r>
          </w:p>
        </w:tc>
        <w:tc>
          <w:tcPr>
            <w:tcW w:type="dxa" w:w="37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81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4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Copy and branded graphics</w:t>
            </w:r>
          </w:p>
        </w:tc>
        <w:tc>
          <w:tcPr>
            <w:tcW w:type="dxa" w:w="37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81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4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Photo / video production</w:t>
            </w:r>
          </w:p>
        </w:tc>
        <w:tc>
          <w:tcPr>
            <w:tcW w:type="dxa" w:w="37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81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4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Publishing</w:t>
            </w:r>
          </w:p>
        </w:tc>
        <w:tc>
          <w:tcPr>
            <w:tcW w:type="dxa" w:w="37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81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4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Community management</w:t>
            </w:r>
          </w:p>
        </w:tc>
        <w:tc>
          <w:tcPr>
            <w:tcW w:type="dxa" w:w="37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 OR EXCLUDED]</w:t>
            </w:r>
          </w:p>
        </w:tc>
        <w:tc>
          <w:tcPr>
            <w:tcW w:type="dxa" w:w="381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4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Paid social</w:t>
            </w:r>
          </w:p>
        </w:tc>
        <w:tc>
          <w:tcPr>
            <w:tcW w:type="dxa" w:w="37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 OR EXCLUDED]</w:t>
            </w:r>
          </w:p>
        </w:tc>
        <w:tc>
          <w:tcPr>
            <w:tcW w:type="dxa" w:w="381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[ADDENDUM?]</w:t>
            </w:r>
          </w:p>
        </w:tc>
      </w:tr>
      <w:tr>
        <w:trPr>
          <w:cantSplit/>
        </w:trPr>
        <w:tc>
          <w:tcPr>
            <w:tcW w:type="dxa" w:w="244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Creators / endorsements</w:t>
            </w:r>
          </w:p>
        </w:tc>
        <w:tc>
          <w:tcPr>
            <w:tcW w:type="dxa" w:w="37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 OR EXCLUDED]</w:t>
            </w:r>
          </w:p>
        </w:tc>
        <w:tc>
          <w:tcPr>
            <w:tcW w:type="dxa" w:w="381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[ADDENDUM?]</w:t>
            </w:r>
          </w:p>
        </w:tc>
      </w:tr>
      <w:tr>
        <w:trPr>
          <w:cantSplit/>
        </w:trPr>
        <w:tc>
          <w:tcPr>
            <w:tcW w:type="dxa" w:w="244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Reporting and meetings</w:t>
            </w:r>
          </w:p>
        </w:tc>
        <w:tc>
          <w:tcPr>
            <w:tcW w:type="dxa" w:w="37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81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bl>
    <w:p>
      <w:pPr>
        <w:spacing w:after="0"/>
      </w:pPr>
    </w:p>
    <w:p>
      <w:pPr>
        <w:pStyle w:val="Heading2"/>
      </w:pPr>
      <w:r>
        <w:t>Fees and expenses</w:t>
      </w:r>
    </w:p>
    <w:tbl>
      <w:tblPr>
        <w:tblStyle w:val="TableGrid"/>
        <w:tblW w:type="auto" w:w="0"/>
        <w:jc w:val="center"/>
        <w:tblLayout w:type="fixed"/>
        <w:tblLook w:firstColumn="1" w:firstRow="1" w:lastColumn="0" w:lastRow="0" w:noHBand="0" w:noVBand="1" w:val="04A0"/>
      </w:tblPr>
      <w:tblGrid>
        <w:gridCol w:w="3427"/>
        <w:gridCol w:w="3427"/>
        <w:gridCol w:w="3427"/>
      </w:tblGrid>
      <w:tr>
        <w:trPr>
          <w:cantSplit/>
          <w:tblHeader w:val="true"/>
        </w:trPr>
        <w:tc>
          <w:tcPr>
            <w:tcW w:type="dxa" w:w="309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Item</w:t>
            </w:r>
          </w:p>
        </w:tc>
        <w:tc>
          <w:tcPr>
            <w:tcW w:type="dxa" w:w="367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Amount / method</w:t>
            </w:r>
          </w:p>
        </w:tc>
        <w:tc>
          <w:tcPr>
            <w:tcW w:type="dxa" w:w="324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Authorization</w:t>
            </w:r>
          </w:p>
        </w:tc>
      </w:tr>
      <w:tr>
        <w:trPr>
          <w:cantSplit/>
        </w:trPr>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Base service fee</w:t>
            </w:r>
          </w:p>
        </w:tc>
        <w:tc>
          <w:tcPr>
            <w:tcW w:type="dxa" w:w="36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2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Extra revision / out-of-scope</w:t>
            </w:r>
          </w:p>
        </w:tc>
        <w:tc>
          <w:tcPr>
            <w:tcW w:type="dxa" w:w="36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[RATE OR QUOTE]</w:t>
            </w:r>
          </w:p>
        </w:tc>
        <w:tc>
          <w:tcPr>
            <w:tcW w:type="dxa" w:w="32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[AUTHORIZED BY]</w:t>
            </w:r>
          </w:p>
        </w:tc>
      </w:tr>
      <w:tr>
        <w:trPr>
          <w:cantSplit/>
        </w:trPr>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Rush work</w:t>
            </w:r>
          </w:p>
        </w:tc>
        <w:tc>
          <w:tcPr>
            <w:tcW w:type="dxa" w:w="36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[RATE OR NOT OFFERED]</w:t>
            </w:r>
          </w:p>
        </w:tc>
        <w:tc>
          <w:tcPr>
            <w:tcW w:type="dxa" w:w="32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[DEFINITION]</w:t>
            </w:r>
          </w:p>
        </w:tc>
      </w:tr>
      <w:tr>
        <w:trPr>
          <w:cantSplit/>
        </w:trPr>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Advertising spend</w:t>
            </w:r>
          </w:p>
        </w:tc>
        <w:tc>
          <w:tcPr>
            <w:tcW w:type="dxa" w:w="36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[CLIENT DIRECT / PASS-THROUGH / EXCLUDED]</w:t>
            </w:r>
          </w:p>
        </w:tc>
        <w:tc>
          <w:tcPr>
            <w:tcW w:type="dxa" w:w="32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[BUDGET AUTHORITY]</w:t>
            </w:r>
          </w:p>
        </w:tc>
      </w:tr>
      <w:tr>
        <w:trPr>
          <w:cantSplit/>
        </w:trPr>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Third-party media / software</w:t>
            </w:r>
          </w:p>
        </w:tc>
        <w:tc>
          <w:tcPr>
            <w:tcW w:type="dxa" w:w="36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24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[PREAPPROVAL]</w:t>
            </w:r>
          </w:p>
        </w:tc>
      </w:tr>
      <w:tr>
        <w:trPr>
          <w:cantSplit/>
        </w:trPr>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Travel / production / fulfillment</w:t>
            </w:r>
          </w:p>
        </w:tc>
        <w:tc>
          <w:tcPr>
            <w:tcW w:type="dxa" w:w="36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24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[PREAPPROVAL]</w:t>
            </w:r>
          </w:p>
        </w:tc>
      </w:tr>
    </w:tbl>
    <w:p>
      <w:pPr>
        <w:spacing w:after="0"/>
      </w:pPr>
    </w:p>
    <w:p>
      <w:pPr>
        <w:keepNext/>
        <w:spacing w:before="300" w:after="120"/>
      </w:pPr>
      <w:r>
        <w:rPr>
          <w:rFonts w:ascii="Arial" w:hAnsi="Arial" w:eastAsia="Arial"/>
          <w:b/>
          <w:i w:val="0"/>
          <w:color w:val="A100FF"/>
          <w:sz w:val="17"/>
        </w:rPr>
        <w:t>SCHEDULE B</w:t>
      </w:r>
    </w:p>
    <w:p>
      <w:pPr>
        <w:keepNext/>
        <w:spacing w:after="120"/>
      </w:pPr>
      <w:r>
        <w:rPr>
          <w:rFonts w:ascii="Arial" w:hAnsi="Arial" w:eastAsia="Arial"/>
          <w:b/>
          <w:i w:val="0"/>
          <w:color w:val="182033"/>
          <w:sz w:val="48"/>
        </w:rPr>
        <w:t>Responsibility matrix</w:t>
      </w:r>
    </w:p>
    <w:p>
      <w:pPr>
        <w:keepNext/>
        <w:spacing w:after="240"/>
      </w:pPr>
      <w:r>
        <w:rPr>
          <w:rFonts w:ascii="Arial" w:hAnsi="Arial" w:eastAsia="Arial"/>
          <w:b w:val="0"/>
          <w:i w:val="0"/>
          <w:color w:val="586272"/>
          <w:sz w:val="21"/>
        </w:rPr>
        <w:t>Assign one operational owner and one decision authority. Adapt the rows to the signed scope.</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tbl>
      <w:tblPr>
        <w:tblStyle w:val="TableGrid"/>
        <w:tblW w:type="auto" w:w="0"/>
        <w:jc w:val="center"/>
        <w:tblLayout w:type="fixed"/>
        <w:tblLook w:firstColumn="1" w:firstRow="1" w:lastColumn="0" w:lastRow="0" w:noHBand="0" w:noVBand="1" w:val="04A0"/>
      </w:tblPr>
      <w:tblGrid>
        <w:gridCol w:w="2570"/>
        <w:gridCol w:w="2570"/>
        <w:gridCol w:w="2570"/>
        <w:gridCol w:w="2570"/>
      </w:tblGrid>
      <w:tr>
        <w:trPr>
          <w:cantSplit/>
          <w:tblHeader w:val="true"/>
        </w:trPr>
        <w:tc>
          <w:tcPr>
            <w:tcW w:type="dxa" w:w="187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Activity</w:t>
            </w:r>
          </w:p>
        </w:tc>
        <w:tc>
          <w:tcPr>
            <w:tcW w:type="dxa" w:w="252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Provider</w:t>
            </w:r>
          </w:p>
        </w:tc>
        <w:tc>
          <w:tcPr>
            <w:tcW w:type="dxa" w:w="252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Client</w:t>
            </w:r>
          </w:p>
        </w:tc>
        <w:tc>
          <w:tcPr>
            <w:tcW w:type="dxa" w:w="309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Decision / evidence</w:t>
            </w:r>
          </w:p>
        </w:tc>
      </w:tr>
      <w:tr>
        <w:trPr>
          <w:cantSplit/>
        </w:trPr>
        <w:tc>
          <w:tcPr>
            <w:tcW w:type="dxa" w:w="18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Strategy and plan</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Draft and recommend</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Supply priorities and approve</w:t>
            </w:r>
          </w:p>
        </w:tc>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Approver + deadline in C</w:t>
            </w:r>
          </w:p>
        </w:tc>
      </w:tr>
      <w:tr>
        <w:trPr>
          <w:cantSplit/>
        </w:trPr>
        <w:tc>
          <w:tcPr>
            <w:tcW w:type="dxa" w:w="18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Business facts</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Use sources; flag gaps</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Supply current facts</w:t>
            </w:r>
          </w:p>
        </w:tc>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Named fact resolver</w:t>
            </w:r>
          </w:p>
        </w:tc>
      </w:tr>
      <w:tr>
        <w:trPr>
          <w:cantSplit/>
        </w:trPr>
        <w:tc>
          <w:tcPr>
            <w:tcW w:type="dxa" w:w="18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Claim support</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Attach source; route risk</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Supply and authorize evidence</w:t>
            </w:r>
          </w:p>
        </w:tc>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No unsupported claim</w:t>
            </w:r>
          </w:p>
        </w:tc>
      </w:tr>
      <w:tr>
        <w:trPr>
          <w:cantSplit/>
        </w:trPr>
        <w:tc>
          <w:tcPr>
            <w:tcW w:type="dxa" w:w="18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Copy and graphics</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Produce included work</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Review and decide</w:t>
            </w:r>
          </w:p>
        </w:tc>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 quantities + revisions</w:t>
            </w:r>
          </w:p>
        </w:tc>
      </w:tr>
      <w:tr>
        <w:trPr>
          <w:cantSplit/>
        </w:trPr>
        <w:tc>
          <w:tcPr>
            <w:tcW w:type="dxa" w:w="18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Raw photo / video</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Owner, date, rights, quality</w:t>
            </w:r>
          </w:p>
        </w:tc>
      </w:tr>
      <w:tr>
        <w:trPr>
          <w:cantSplit/>
        </w:trPr>
        <w:tc>
          <w:tcPr>
            <w:tcW w:type="dxa" w:w="18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Testimonials / UGC</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Format after permission</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Obtain / confirm permission</w:t>
            </w:r>
          </w:p>
        </w:tc>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Person, use, term, channel</w:t>
            </w:r>
          </w:p>
        </w:tc>
      </w:tr>
      <w:tr>
        <w:trPr>
          <w:cantSplit/>
        </w:trPr>
        <w:tc>
          <w:tcPr>
            <w:tcW w:type="dxa" w:w="18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Approval</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Route, remind, record</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Authorized decision</w:t>
            </w:r>
          </w:p>
        </w:tc>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 service level + backup</w:t>
            </w:r>
          </w:p>
        </w:tc>
      </w:tr>
      <w:tr>
        <w:trPr>
          <w:cantSplit/>
        </w:trPr>
        <w:tc>
          <w:tcPr>
            <w:tcW w:type="dxa" w:w="18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Publishing</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[DRAFT / SCHEDULE / PUBLISH]</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Maintain account ownership</w:t>
            </w:r>
          </w:p>
        </w:tc>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Approved current version</w:t>
            </w:r>
          </w:p>
        </w:tc>
      </w:tr>
      <w:tr>
        <w:trPr>
          <w:cantSplit/>
        </w:trPr>
        <w:tc>
          <w:tcPr>
            <w:tcW w:type="dxa" w:w="18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Community response</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[INCLUDED / EXCLUDED]</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Own specialist escalation</w:t>
            </w:r>
          </w:p>
        </w:tc>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Hours, categories, crisis</w:t>
            </w:r>
          </w:p>
        </w:tc>
      </w:tr>
      <w:tr>
        <w:trPr>
          <w:cantSplit/>
        </w:trPr>
        <w:tc>
          <w:tcPr>
            <w:tcW w:type="dxa" w:w="18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Paid media</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 / EXCLUDED]</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Own / fund account and spend</w:t>
            </w:r>
          </w:p>
        </w:tc>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Addendum + budget</w:t>
            </w:r>
          </w:p>
        </w:tc>
      </w:tr>
      <w:tr>
        <w:trPr>
          <w:cantSplit/>
        </w:trPr>
        <w:tc>
          <w:tcPr>
            <w:tcW w:type="dxa" w:w="187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Reporting</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Report agreed definitions</w:t>
            </w:r>
          </w:p>
        </w:tc>
        <w:tc>
          <w:tcPr>
            <w:tcW w:type="dxa" w:w="25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Maintain access / tracking</w:t>
            </w:r>
          </w:p>
        </w:tc>
        <w:tc>
          <w:tcPr>
            <w:tcW w:type="dxa" w:w="309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Disclose gaps</w:t>
            </w:r>
          </w:p>
        </w:tc>
      </w:tr>
      <w:tr>
        <w:trPr>
          <w:cantSplit/>
        </w:trPr>
        <w:tc>
          <w:tcPr>
            <w:tcW w:type="dxa" w:w="187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Security / exit</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Manage Provider access</w:t>
            </w:r>
          </w:p>
        </w:tc>
        <w:tc>
          <w:tcPr>
            <w:tcW w:type="dxa" w:w="25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Retain primary ownership</w:t>
            </w:r>
          </w:p>
        </w:tc>
        <w:tc>
          <w:tcPr>
            <w:tcW w:type="dxa" w:w="309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Schedule D</w:t>
            </w:r>
          </w:p>
        </w:tc>
      </w:tr>
    </w:tbl>
    <w:p>
      <w:pPr>
        <w:spacing w:after="0"/>
      </w:pPr>
    </w:p>
    <w:p>
      <w:pPr>
        <w:keepNext/>
        <w:spacing w:before="300" w:after="120"/>
      </w:pPr>
      <w:r>
        <w:rPr>
          <w:rFonts w:ascii="Arial" w:hAnsi="Arial" w:eastAsia="Arial"/>
          <w:b/>
          <w:i w:val="0"/>
          <w:color w:val="A100FF"/>
          <w:sz w:val="17"/>
        </w:rPr>
        <w:t>SCHEDULE C</w:t>
      </w:r>
    </w:p>
    <w:p>
      <w:pPr>
        <w:keepNext/>
        <w:spacing w:after="120"/>
      </w:pPr>
      <w:r>
        <w:rPr>
          <w:rFonts w:ascii="Arial" w:hAnsi="Arial" w:eastAsia="Arial"/>
          <w:b/>
          <w:i w:val="0"/>
          <w:color w:val="182033"/>
          <w:sz w:val="48"/>
        </w:rPr>
        <w:t>Approval, risk, and escalation</w:t>
      </w:r>
    </w:p>
    <w:p>
      <w:pPr>
        <w:keepNext/>
        <w:spacing w:after="240"/>
      </w:pPr>
      <w:r>
        <w:rPr>
          <w:rFonts w:ascii="Arial" w:hAnsi="Arial" w:eastAsia="Arial"/>
          <w:b w:val="0"/>
          <w:i w:val="0"/>
          <w:color w:val="586272"/>
          <w:sz w:val="21"/>
        </w:rPr>
        <w:t>Keep the operational system aligned with these definitions.</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p>
      <w:pPr>
        <w:pStyle w:val="Heading2"/>
      </w:pPr>
      <w:r>
        <w:t>Decision states</w:t>
      </w:r>
    </w:p>
    <w:tbl>
      <w:tblPr>
        <w:tblStyle w:val="TableGrid"/>
        <w:tblW w:type="auto" w:w="0"/>
        <w:jc w:val="center"/>
        <w:tblLayout w:type="fixed"/>
        <w:tblLook w:firstColumn="1" w:firstRow="1" w:lastColumn="0" w:lastRow="0" w:noHBand="0" w:noVBand="1" w:val="04A0"/>
      </w:tblPr>
      <w:tblGrid>
        <w:gridCol w:w="3427"/>
        <w:gridCol w:w="3427"/>
        <w:gridCol w:w="3427"/>
      </w:tblGrid>
      <w:tr>
        <w:trPr>
          <w:cantSplit/>
          <w:tblHeader w:val="true"/>
        </w:trPr>
        <w:tc>
          <w:tcPr>
            <w:tcW w:type="dxa" w:w="194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State</w:t>
            </w:r>
          </w:p>
        </w:tc>
        <w:tc>
          <w:tcPr>
            <w:tcW w:type="dxa" w:w="460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Meaning</w:t>
            </w:r>
          </w:p>
        </w:tc>
        <w:tc>
          <w:tcPr>
            <w:tcW w:type="dxa" w:w="345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Next action</w:t>
            </w:r>
          </w:p>
        </w:tc>
      </w:tr>
      <w:tr>
        <w:trPr>
          <w:cantSplit/>
        </w:trPr>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Approved</w:t>
            </w:r>
          </w:p>
        </w:tc>
        <w:tc>
          <w:tcPr>
            <w:tcW w:type="dxa" w:w="460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Exact version may publish</w:t>
            </w:r>
          </w:p>
        </w:tc>
        <w:tc>
          <w:tcPr>
            <w:tcW w:type="dxa" w:w="345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Schedule or release</w:t>
            </w:r>
          </w:p>
        </w:tc>
      </w:tr>
      <w:tr>
        <w:trPr>
          <w:cantSplit/>
        </w:trPr>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Conditionally approved</w:t>
            </w:r>
          </w:p>
        </w:tc>
        <w:tc>
          <w:tcPr>
            <w:tcW w:type="dxa" w:w="460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May publish after named checkable conditions</w:t>
            </w:r>
          </w:p>
        </w:tc>
        <w:tc>
          <w:tcPr>
            <w:tcW w:type="dxa" w:w="345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Verify and record</w:t>
            </w:r>
          </w:p>
        </w:tc>
      </w:tr>
      <w:tr>
        <w:trPr>
          <w:cantSplit/>
        </w:trPr>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Changes requested</w:t>
            </w:r>
          </w:p>
        </w:tc>
        <w:tc>
          <w:tcPr>
            <w:tcW w:type="dxa" w:w="460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Specific changes required</w:t>
            </w:r>
          </w:p>
        </w:tc>
        <w:tc>
          <w:tcPr>
            <w:tcW w:type="dxa" w:w="345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Return to revision</w:t>
            </w:r>
          </w:p>
        </w:tc>
      </w:tr>
      <w:tr>
        <w:trPr>
          <w:cantSplit/>
        </w:trPr>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Rejected</w:t>
            </w:r>
          </w:p>
        </w:tc>
        <w:tc>
          <w:tcPr>
            <w:tcW w:type="dxa" w:w="460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Concept will not proceed</w:t>
            </w:r>
          </w:p>
        </w:tc>
        <w:tc>
          <w:tcPr>
            <w:tcW w:type="dxa" w:w="345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Close or rebrief</w:t>
            </w:r>
          </w:p>
        </w:tc>
      </w:tr>
      <w:tr>
        <w:trPr>
          <w:cantSplit/>
        </w:trPr>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Expired</w:t>
            </w:r>
          </w:p>
        </w:tc>
        <w:tc>
          <w:tcPr>
            <w:tcW w:type="dxa" w:w="460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Version, evidence, offer, date, or context changed</w:t>
            </w:r>
          </w:p>
        </w:tc>
        <w:tc>
          <w:tcPr>
            <w:tcW w:type="dxa" w:w="345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Renew review</w:t>
            </w:r>
          </w:p>
        </w:tc>
      </w:tr>
    </w:tbl>
    <w:p>
      <w:pPr>
        <w:spacing w:after="0"/>
      </w:pPr>
    </w:p>
    <w:p>
      <w:pPr>
        <w:pStyle w:val="Heading2"/>
      </w:pPr>
      <w:r>
        <w:t>Risk routing</w:t>
      </w:r>
    </w:p>
    <w:tbl>
      <w:tblPr>
        <w:tblStyle w:val="TableGrid"/>
        <w:tblW w:type="auto" w:w="0"/>
        <w:jc w:val="center"/>
        <w:tblLayout w:type="fixed"/>
        <w:tblLook w:firstColumn="1" w:firstRow="1" w:lastColumn="0" w:lastRow="0" w:noHBand="0" w:noVBand="1" w:val="04A0"/>
      </w:tblPr>
      <w:tblGrid>
        <w:gridCol w:w="2570"/>
        <w:gridCol w:w="2570"/>
        <w:gridCol w:w="2570"/>
        <w:gridCol w:w="2570"/>
      </w:tblGrid>
      <w:tr>
        <w:trPr>
          <w:cantSplit/>
          <w:tblHeader w:val="true"/>
        </w:trPr>
        <w:tc>
          <w:tcPr>
            <w:tcW w:type="dxa" w:w="79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Risk</w:t>
            </w:r>
          </w:p>
        </w:tc>
        <w:tc>
          <w:tcPr>
            <w:tcW w:type="dxa" w:w="331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Examples</w:t>
            </w:r>
          </w:p>
        </w:tc>
        <w:tc>
          <w:tcPr>
            <w:tcW w:type="dxa" w:w="374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Required route</w:t>
            </w:r>
          </w:p>
        </w:tc>
        <w:tc>
          <w:tcPr>
            <w:tcW w:type="dxa" w:w="216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Silence</w:t>
            </w:r>
          </w:p>
        </w:tc>
      </w:tr>
      <w:tr>
        <w:trPr>
          <w:cantSplit/>
        </w:trPr>
        <w:tc>
          <w:tcPr>
            <w:tcW w:type="dxa" w:w="79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Low</w:t>
            </w:r>
          </w:p>
        </w:tc>
        <w:tc>
          <w:tcPr>
            <w:tcW w:type="dxa" w:w="33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Evergreen, approved language, owned assets</w:t>
            </w:r>
          </w:p>
        </w:tc>
        <w:tc>
          <w:tcPr>
            <w:tcW w:type="dxa" w:w="37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Creator → editorial → approver</w:t>
            </w:r>
          </w:p>
        </w:tc>
        <w:tc>
          <w:tcPr>
            <w:tcW w:type="dxa" w:w="216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[PAUSE / COUNSEL-APPROVED EXCEPTION]</w:t>
            </w:r>
          </w:p>
        </w:tc>
      </w:tr>
      <w:tr>
        <w:trPr>
          <w:cantSplit/>
        </w:trPr>
        <w:tc>
          <w:tcPr>
            <w:tcW w:type="dxa" w:w="79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Medium</w:t>
            </w:r>
          </w:p>
        </w:tc>
        <w:tc>
          <w:tcPr>
            <w:tcW w:type="dxa" w:w="331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Pricing, product claims, offers, testimonials, UGC</w:t>
            </w:r>
          </w:p>
        </w:tc>
        <w:tc>
          <w:tcPr>
            <w:tcW w:type="dxa" w:w="37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Creator → editorial → subject / rights → approver</w:t>
            </w:r>
          </w:p>
        </w:tc>
        <w:tc>
          <w:tcPr>
            <w:tcW w:type="dxa" w:w="216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Affirmative approval</w:t>
            </w:r>
          </w:p>
        </w:tc>
      </w:tr>
      <w:tr>
        <w:trPr>
          <w:cantSplit/>
        </w:trPr>
        <w:tc>
          <w:tcPr>
            <w:tcW w:type="dxa" w:w="79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High</w:t>
            </w:r>
          </w:p>
        </w:tc>
        <w:tc>
          <w:tcPr>
            <w:tcW w:type="dxa" w:w="33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Regulated claims, crisis, material health / finance / legal</w:t>
            </w:r>
          </w:p>
        </w:tc>
        <w:tc>
          <w:tcPr>
            <w:tcW w:type="dxa" w:w="37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Creator → editorial → legal / compliance → authorized approver</w:t>
            </w:r>
          </w:p>
        </w:tc>
        <w:tc>
          <w:tcPr>
            <w:tcW w:type="dxa" w:w="216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Affirmative only</w:t>
            </w:r>
          </w:p>
        </w:tc>
      </w:tr>
    </w:tbl>
    <w:p>
      <w:pPr>
        <w:spacing w:after="0"/>
      </w:pPr>
    </w:p>
    <w:p>
      <w:pPr>
        <w:pStyle w:val="Heading2"/>
      </w:pPr>
      <w:r>
        <w:t>Service levels and escalation</w:t>
      </w:r>
    </w:p>
    <w:tbl>
      <w:tblPr>
        <w:tblStyle w:val="TableGrid"/>
        <w:tblW w:type="auto" w:w="0"/>
        <w:jc w:val="center"/>
        <w:tblLayout w:type="fixed"/>
        <w:tblLook w:firstColumn="1" w:firstRow="1" w:lastColumn="0" w:lastRow="0" w:noHBand="0" w:noVBand="1" w:val="04A0"/>
      </w:tblPr>
      <w:tblGrid>
        <w:gridCol w:w="2056"/>
        <w:gridCol w:w="2056"/>
        <w:gridCol w:w="2056"/>
        <w:gridCol w:w="2056"/>
        <w:gridCol w:w="2056"/>
      </w:tblGrid>
      <w:tr>
        <w:trPr>
          <w:cantSplit/>
          <w:tblHeader w:val="true"/>
        </w:trPr>
        <w:tc>
          <w:tcPr>
            <w:tcW w:type="dxa" w:w="165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Stage</w:t>
            </w:r>
          </w:p>
        </w:tc>
        <w:tc>
          <w:tcPr>
            <w:tcW w:type="dxa" w:w="151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Owner</w:t>
            </w:r>
          </w:p>
        </w:tc>
        <w:tc>
          <w:tcPr>
            <w:tcW w:type="dxa" w:w="295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Clock starts</w:t>
            </w:r>
          </w:p>
        </w:tc>
        <w:tc>
          <w:tcPr>
            <w:tcW w:type="dxa" w:w="115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Due</w:t>
            </w:r>
          </w:p>
        </w:tc>
        <w:tc>
          <w:tcPr>
            <w:tcW w:type="dxa" w:w="273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Consequence</w:t>
            </w:r>
          </w:p>
        </w:tc>
      </w:tr>
      <w:tr>
        <w:trPr>
          <w:cantSplit/>
        </w:trPr>
        <w:tc>
          <w:tcPr>
            <w:tcW w:type="dxa" w:w="165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Internal review</w:t>
            </w:r>
          </w:p>
        </w:tc>
        <w:tc>
          <w:tcPr>
            <w:tcW w:type="dxa" w:w="15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29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Stable draft</w:t>
            </w:r>
          </w:p>
        </w:tc>
        <w:tc>
          <w:tcPr>
            <w:tcW w:type="dxa" w:w="11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273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[BACKUP / MOVE]</w:t>
            </w:r>
          </w:p>
        </w:tc>
      </w:tr>
      <w:tr>
        <w:trPr>
          <w:cantSplit/>
        </w:trPr>
        <w:tc>
          <w:tcPr>
            <w:tcW w:type="dxa" w:w="165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Client review</w:t>
            </w:r>
          </w:p>
        </w:tc>
        <w:tc>
          <w:tcPr>
            <w:tcW w:type="dxa" w:w="151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29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Complete preview + sources</w:t>
            </w:r>
          </w:p>
        </w:tc>
        <w:tc>
          <w:tcPr>
            <w:tcW w:type="dxa" w:w="11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273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[REMIND / BACKUP / ROLLOVER]</w:t>
            </w:r>
          </w:p>
        </w:tc>
      </w:tr>
      <w:tr>
        <w:trPr>
          <w:cantSplit/>
        </w:trPr>
        <w:tc>
          <w:tcPr>
            <w:tcW w:type="dxa" w:w="165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Specialist review</w:t>
            </w:r>
          </w:p>
        </w:tc>
        <w:tc>
          <w:tcPr>
            <w:tcW w:type="dxa" w:w="15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29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Risk + question identified</w:t>
            </w:r>
          </w:p>
        </w:tc>
        <w:tc>
          <w:tcPr>
            <w:tcW w:type="dxa" w:w="11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273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[PAUSE / ALTERNATE]</w:t>
            </w:r>
          </w:p>
        </w:tc>
      </w:tr>
      <w:tr>
        <w:trPr>
          <w:cantSplit/>
        </w:trPr>
        <w:tc>
          <w:tcPr>
            <w:tcW w:type="dxa" w:w="165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Crisis</w:t>
            </w:r>
          </w:p>
        </w:tc>
        <w:tc>
          <w:tcPr>
            <w:tcW w:type="dxa" w:w="151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29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Trigger identified</w:t>
            </w:r>
          </w:p>
        </w:tc>
        <w:tc>
          <w:tcPr>
            <w:tcW w:type="dxa" w:w="11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273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[PAUSE / CALL TREE]</w:t>
            </w:r>
          </w:p>
        </w:tc>
      </w:tr>
      <w:tr>
        <w:trPr>
          <w:cantSplit/>
        </w:trPr>
        <w:tc>
          <w:tcPr>
            <w:tcW w:type="dxa" w:w="165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Security</w:t>
            </w:r>
          </w:p>
        </w:tc>
        <w:tc>
          <w:tcPr>
            <w:tcW w:type="dxa" w:w="15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29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Suspected access issue</w:t>
            </w:r>
          </w:p>
        </w:tc>
        <w:tc>
          <w:tcPr>
            <w:tcW w:type="dxa" w:w="11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c>
          <w:tcPr>
            <w:tcW w:type="dxa" w:w="273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[CONTAIN / RECOVER]</w:t>
            </w:r>
          </w:p>
        </w:tc>
      </w:tr>
    </w:tbl>
    <w:p>
      <w:pPr>
        <w:spacing w:after="0"/>
      </w:pPr>
    </w:p>
    <w:p>
      <w:pPr>
        <w:pStyle w:val="Heading2"/>
      </w:pPr>
      <w:r>
        <w:t>Special review triggers</w:t>
      </w:r>
    </w:p>
    <w:p>
      <w:pPr>
        <w:spacing w:after="40"/>
      </w:pPr>
      <w:r>
        <w:rPr>
          <w:rFonts w:ascii="Arial" w:hAnsi="Arial" w:eastAsia="Arial"/>
          <w:b w:val="0"/>
          <w:i w:val="0"/>
          <w:color w:val="182033"/>
          <w:sz w:val="17"/>
        </w:rPr>
        <w:t>☐  Price, offer, guarantee, comparison, performance, health, financial, employment, legal, or regulated claim</w:t>
      </w:r>
    </w:p>
    <w:p>
      <w:pPr>
        <w:spacing w:after="40"/>
      </w:pPr>
      <w:r>
        <w:rPr>
          <w:rFonts w:ascii="Arial" w:hAnsi="Arial" w:eastAsia="Arial"/>
          <w:b w:val="0"/>
          <w:i w:val="0"/>
          <w:color w:val="182033"/>
          <w:sz w:val="17"/>
        </w:rPr>
        <w:t>☐  Testimonial, endorsement, employee, creator, customer, UGC, or material connection</w:t>
      </w:r>
    </w:p>
    <w:p>
      <w:pPr>
        <w:spacing w:after="40"/>
      </w:pPr>
      <w:r>
        <w:rPr>
          <w:rFonts w:ascii="Arial" w:hAnsi="Arial" w:eastAsia="Arial"/>
          <w:b w:val="0"/>
          <w:i w:val="0"/>
          <w:color w:val="182033"/>
          <w:sz w:val="17"/>
        </w:rPr>
        <w:t>☐  Personal, confidential, unreleased, or regulated information</w:t>
      </w:r>
    </w:p>
    <w:p>
      <w:pPr>
        <w:spacing w:after="40"/>
      </w:pPr>
      <w:r>
        <w:rPr>
          <w:rFonts w:ascii="Arial" w:hAnsi="Arial" w:eastAsia="Arial"/>
          <w:b w:val="0"/>
          <w:i w:val="0"/>
          <w:color w:val="182033"/>
          <w:sz w:val="17"/>
        </w:rPr>
        <w:t>☐  Third-party mark, copyrighted asset, music, likeness, or uncertain license</w:t>
      </w:r>
    </w:p>
    <w:p>
      <w:pPr>
        <w:spacing w:after="40"/>
      </w:pPr>
      <w:r>
        <w:rPr>
          <w:rFonts w:ascii="Arial" w:hAnsi="Arial" w:eastAsia="Arial"/>
          <w:b w:val="0"/>
          <w:i w:val="0"/>
          <w:color w:val="182033"/>
          <w:sz w:val="17"/>
        </w:rPr>
        <w:t>☐  Sensitive event, complaint pattern, litigation, threat, safety issue, account incident, or crisis</w:t>
      </w:r>
    </w:p>
    <w:p>
      <w:pPr>
        <w:spacing w:after="40"/>
      </w:pPr>
      <w:r>
        <w:rPr>
          <w:rFonts w:ascii="Arial" w:hAnsi="Arial" w:eastAsia="Arial"/>
          <w:b w:val="0"/>
          <w:i w:val="0"/>
          <w:color w:val="182033"/>
          <w:sz w:val="17"/>
        </w:rPr>
        <w:t>☐  Material post-approval change or expired evidence, offer, permission, or context</w:t>
      </w:r>
    </w:p>
    <w:p>
      <w:pPr>
        <w:keepNext/>
        <w:spacing w:before="300" w:after="120"/>
      </w:pPr>
      <w:r>
        <w:rPr>
          <w:rFonts w:ascii="Arial" w:hAnsi="Arial" w:eastAsia="Arial"/>
          <w:b/>
          <w:i w:val="0"/>
          <w:color w:val="A100FF"/>
          <w:sz w:val="17"/>
        </w:rPr>
        <w:t>SCHEDULE D</w:t>
      </w:r>
    </w:p>
    <w:p>
      <w:pPr>
        <w:keepNext/>
        <w:spacing w:after="120"/>
      </w:pPr>
      <w:r>
        <w:rPr>
          <w:rFonts w:ascii="Arial" w:hAnsi="Arial" w:eastAsia="Arial"/>
          <w:b/>
          <w:i w:val="0"/>
          <w:color w:val="182033"/>
          <w:sz w:val="48"/>
        </w:rPr>
        <w:t>Access, incident, and offboarding record</w:t>
      </w:r>
    </w:p>
    <w:p>
      <w:pPr>
        <w:keepNext/>
        <w:spacing w:after="240"/>
      </w:pPr>
      <w:r>
        <w:rPr>
          <w:rFonts w:ascii="Arial" w:hAnsi="Arial" w:eastAsia="Arial"/>
          <w:b w:val="0"/>
          <w:i w:val="0"/>
          <w:color w:val="586272"/>
          <w:sz w:val="21"/>
        </w:rPr>
        <w:t>Maintain this inventory from onboarding onward. Do not wait for termination to identify account owners.</w:t>
      </w:r>
    </w:p>
    <w:tbl>
      <w:tblPr>
        <w:tblW w:type="auto" w:w="0"/>
        <w:tblLook w:firstColumn="1" w:firstRow="1" w:lastColumn="0" w:lastRow="0" w:noHBand="0" w:noVBand="1" w:val="04A0"/>
      </w:tblPr>
      <w:tblGrid>
        <w:gridCol w:w="10282"/>
      </w:tblGrid>
      <w:tr>
        <w:trPr>
          <w:cantSplit/>
        </w:trPr>
        <w:tc>
          <w:tcPr>
            <w:tcW w:type="dxa" w:w="10282"/>
            <w:shd w:fill="A100FF"/>
            <w:tcMar>
              <w:top w:w="0" w:type="dxa"/>
              <w:start w:w="0" w:type="dxa"/>
              <w:bottom w:w="0" w:type="dxa"/>
              <w:end w:w="0" w:type="dxa"/>
            </w:tcMar>
          </w:tcPr>
          <w:p>
            <w:pPr>
              <w:keepNext/>
            </w:pPr>
          </w:p>
        </w:tc>
      </w:tr>
    </w:tbl>
    <w:p>
      <w:pPr>
        <w:pStyle w:val="Heading2"/>
      </w:pPr>
      <w:r>
        <w:t>Access inventory</w:t>
      </w:r>
    </w:p>
    <w:tbl>
      <w:tblPr>
        <w:tblStyle w:val="TableGrid"/>
        <w:tblW w:type="auto" w:w="0"/>
        <w:jc w:val="center"/>
        <w:tblLayout w:type="fixed"/>
        <w:tblLook w:firstColumn="1" w:firstRow="1" w:lastColumn="0" w:lastRow="0" w:noHBand="0" w:noVBand="1" w:val="04A0"/>
      </w:tblPr>
      <w:tblGrid>
        <w:gridCol w:w="1714"/>
        <w:gridCol w:w="1714"/>
        <w:gridCol w:w="1714"/>
        <w:gridCol w:w="1714"/>
        <w:gridCol w:w="1714"/>
        <w:gridCol w:w="1714"/>
      </w:tblGrid>
      <w:tr>
        <w:trPr>
          <w:cantSplit/>
          <w:tblHeader w:val="true"/>
        </w:trPr>
        <w:tc>
          <w:tcPr>
            <w:tcW w:type="dxa" w:w="2376"/>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System / asset</w:t>
            </w:r>
          </w:p>
        </w:tc>
        <w:tc>
          <w:tcPr>
            <w:tcW w:type="dxa" w:w="158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Client owner</w:t>
            </w:r>
          </w:p>
        </w:tc>
        <w:tc>
          <w:tcPr>
            <w:tcW w:type="dxa" w:w="194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Provider role</w:t>
            </w:r>
          </w:p>
        </w:tc>
        <w:tc>
          <w:tcPr>
            <w:tcW w:type="dxa" w:w="72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MFA</w:t>
            </w:r>
          </w:p>
        </w:tc>
        <w:tc>
          <w:tcPr>
            <w:tcW w:type="dxa" w:w="122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Granted</w:t>
            </w:r>
          </w:p>
        </w:tc>
        <w:tc>
          <w:tcPr>
            <w:tcW w:type="dxa" w:w="158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Remove</w:t>
            </w:r>
          </w:p>
        </w:tc>
      </w:tr>
      <w:tr>
        <w:trPr>
          <w:cantSplit/>
        </w:trPr>
        <w:tc>
          <w:tcPr>
            <w:tcW w:type="dxa" w:w="237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[Meta business assets]</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[PARTNER / ROLE]</w:t>
            </w:r>
          </w:p>
        </w:tc>
        <w:tc>
          <w:tcPr>
            <w:tcW w:type="dxa" w:w="7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r>
        <w:trPr>
          <w:cantSplit/>
        </w:trPr>
        <w:tc>
          <w:tcPr>
            <w:tcW w:type="dxa" w:w="237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[LinkedIn Page]</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7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r>
        <w:trPr>
          <w:cantSplit/>
        </w:trPr>
        <w:tc>
          <w:tcPr>
            <w:tcW w:type="dxa" w:w="237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[X]</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[DELEGATE]</w:t>
            </w:r>
          </w:p>
        </w:tc>
        <w:tc>
          <w:tcPr>
            <w:tcW w:type="dxa" w:w="7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r>
        <w:trPr>
          <w:cantSplit/>
        </w:trPr>
        <w:tc>
          <w:tcPr>
            <w:tcW w:type="dxa" w:w="237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[Other channel]</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7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r>
        <w:trPr>
          <w:cantSplit/>
        </w:trPr>
        <w:tc>
          <w:tcPr>
            <w:tcW w:type="dxa" w:w="237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[Analytics / tags]</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7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r>
        <w:trPr>
          <w:cantSplit/>
        </w:trPr>
        <w:tc>
          <w:tcPr>
            <w:tcW w:type="dxa" w:w="2376"/>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[CRM / call tracking]</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72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r>
        <w:trPr>
          <w:cantSplit/>
        </w:trPr>
        <w:tc>
          <w:tcPr>
            <w:tcW w:type="dxa" w:w="2376"/>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[Asset library]</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94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[ROLE]</w:t>
            </w:r>
          </w:p>
        </w:tc>
        <w:tc>
          <w:tcPr>
            <w:tcW w:type="dxa" w:w="72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[Y/N]</w:t>
            </w:r>
          </w:p>
        </w:tc>
        <w:tc>
          <w:tcPr>
            <w:tcW w:type="dxa" w:w="122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158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r>
    </w:tbl>
    <w:p>
      <w:pPr>
        <w:spacing w:after="0"/>
      </w:pPr>
    </w:p>
    <w:p>
      <w:pPr>
        <w:pStyle w:val="Heading2"/>
      </w:pPr>
      <w:r>
        <w:t>Incident contacts</w:t>
      </w:r>
    </w:p>
    <w:tbl>
      <w:tblPr>
        <w:tblStyle w:val="TableGrid"/>
        <w:tblW w:type="auto" w:w="0"/>
        <w:jc w:val="center"/>
        <w:tblLayout w:type="fixed"/>
        <w:tblLook w:firstColumn="1" w:firstRow="1" w:lastColumn="0" w:lastRow="0" w:noHBand="0" w:noVBand="1" w:val="04A0"/>
      </w:tblPr>
      <w:tblGrid>
        <w:gridCol w:w="2570"/>
        <w:gridCol w:w="2570"/>
        <w:gridCol w:w="2570"/>
        <w:gridCol w:w="2570"/>
      </w:tblGrid>
      <w:tr>
        <w:trPr>
          <w:cantSplit/>
          <w:tblHeader w:val="true"/>
        </w:trPr>
        <w:tc>
          <w:tcPr>
            <w:tcW w:type="dxa" w:w="259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Role</w:t>
            </w:r>
          </w:p>
        </w:tc>
        <w:tc>
          <w:tcPr>
            <w:tcW w:type="dxa" w:w="2088"/>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Name</w:t>
            </w:r>
          </w:p>
        </w:tc>
        <w:tc>
          <w:tcPr>
            <w:tcW w:type="dxa" w:w="266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Primary method</w:t>
            </w:r>
          </w:p>
        </w:tc>
        <w:tc>
          <w:tcPr>
            <w:tcW w:type="dxa" w:w="266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Backup</w:t>
            </w:r>
          </w:p>
        </w:tc>
      </w:tr>
      <w:tr>
        <w:trPr>
          <w:cantSplit/>
        </w:trPr>
        <w:tc>
          <w:tcPr>
            <w:tcW w:type="dxa" w:w="259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Client security</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26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[PHONE / EMAIL]</w:t>
            </w:r>
          </w:p>
        </w:tc>
        <w:tc>
          <w:tcPr>
            <w:tcW w:type="dxa" w:w="26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59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Provider security</w:t>
            </w:r>
          </w:p>
        </w:tc>
        <w:tc>
          <w:tcPr>
            <w:tcW w:type="dxa" w:w="208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266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[PHONE / EMAIL]</w:t>
            </w:r>
          </w:p>
        </w:tc>
        <w:tc>
          <w:tcPr>
            <w:tcW w:type="dxa" w:w="266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59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Client crisis</w:t>
            </w:r>
          </w:p>
        </w:tc>
        <w:tc>
          <w:tcPr>
            <w:tcW w:type="dxa" w:w="2088"/>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26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[PHONE / EMAIL]</w:t>
            </w:r>
          </w:p>
        </w:tc>
        <w:tc>
          <w:tcPr>
            <w:tcW w:type="dxa" w:w="26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r>
        <w:trPr>
          <w:cantSplit/>
        </w:trPr>
        <w:tc>
          <w:tcPr>
            <w:tcW w:type="dxa" w:w="259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Platform recovery</w:t>
            </w:r>
          </w:p>
        </w:tc>
        <w:tc>
          <w:tcPr>
            <w:tcW w:type="dxa" w:w="2088"/>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266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[PHONE / EMAIL]</w:t>
            </w:r>
          </w:p>
        </w:tc>
        <w:tc>
          <w:tcPr>
            <w:tcW w:type="dxa" w:w="266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[INSERT]</w:t>
            </w:r>
          </w:p>
        </w:tc>
      </w:tr>
    </w:tbl>
    <w:p>
      <w:pPr>
        <w:spacing w:after="0"/>
      </w:pPr>
    </w:p>
    <w:p>
      <w:pPr>
        <w:pStyle w:val="Heading2"/>
      </w:pPr>
      <w:r>
        <w:t>Offboarding checklist</w:t>
      </w:r>
    </w:p>
    <w:p>
      <w:pPr>
        <w:spacing w:after="40"/>
      </w:pPr>
      <w:r>
        <w:rPr>
          <w:rFonts w:ascii="Arial" w:hAnsi="Arial" w:eastAsia="Arial"/>
          <w:b w:val="0"/>
          <w:i w:val="0"/>
          <w:color w:val="182033"/>
          <w:sz w:val="17"/>
        </w:rPr>
        <w:t>☐  Confirm the final date, work during notice, outstanding fees, and approved expenses.</w:t>
      </w:r>
    </w:p>
    <w:p>
      <w:pPr>
        <w:spacing w:after="40"/>
      </w:pPr>
      <w:r>
        <w:rPr>
          <w:rFonts w:ascii="Arial" w:hAnsi="Arial" w:eastAsia="Arial"/>
          <w:b w:val="0"/>
          <w:i w:val="0"/>
          <w:color w:val="182033"/>
          <w:sz w:val="17"/>
        </w:rPr>
        <w:t>☐  Decide the fate of drafts, approved assets, queued posts, live ads, automations, and subscriptions.</w:t>
      </w:r>
    </w:p>
    <w:p>
      <w:pPr>
        <w:spacing w:after="40"/>
      </w:pPr>
      <w:r>
        <w:rPr>
          <w:rFonts w:ascii="Arial" w:hAnsi="Arial" w:eastAsia="Arial"/>
          <w:b w:val="0"/>
          <w:i w:val="0"/>
          <w:color w:val="182033"/>
          <w:sz w:val="17"/>
        </w:rPr>
        <w:t>☐  Deliver agreed reports, content, source files, live URLs, rights records, and change logs.</w:t>
      </w:r>
    </w:p>
    <w:p>
      <w:pPr>
        <w:spacing w:after="40"/>
      </w:pPr>
      <w:r>
        <w:rPr>
          <w:rFonts w:ascii="Arial" w:hAnsi="Arial" w:eastAsia="Arial"/>
          <w:b w:val="0"/>
          <w:i w:val="0"/>
          <w:color w:val="182033"/>
          <w:sz w:val="17"/>
        </w:rPr>
        <w:t>☐  Confirm Client control of profiles, business managers, ads, pixels, audiences, analytics, CRM, and message history.</w:t>
      </w:r>
    </w:p>
    <w:p>
      <w:pPr>
        <w:spacing w:after="40"/>
      </w:pPr>
      <w:r>
        <w:rPr>
          <w:rFonts w:ascii="Arial" w:hAnsi="Arial" w:eastAsia="Arial"/>
          <w:b w:val="0"/>
          <w:i w:val="0"/>
          <w:color w:val="182033"/>
          <w:sz w:val="17"/>
        </w:rPr>
        <w:t>☐  Remove employee, contractor, app, token, integration, shared credential, and recovery access.</w:t>
      </w:r>
    </w:p>
    <w:p>
      <w:pPr>
        <w:spacing w:after="40"/>
      </w:pPr>
      <w:r>
        <w:rPr>
          <w:rFonts w:ascii="Arial" w:hAnsi="Arial" w:eastAsia="Arial"/>
          <w:b w:val="0"/>
          <w:i w:val="0"/>
          <w:color w:val="182033"/>
          <w:sz w:val="17"/>
        </w:rPr>
        <w:t>☐  Return or delete confidential and personal data subject to retention and legal-hold duties.</w:t>
      </w:r>
    </w:p>
    <w:p>
      <w:pPr>
        <w:spacing w:after="40"/>
      </w:pPr>
      <w:r>
        <w:rPr>
          <w:rFonts w:ascii="Arial" w:hAnsi="Arial" w:eastAsia="Arial"/>
          <w:b w:val="0"/>
          <w:i w:val="0"/>
          <w:color w:val="182033"/>
          <w:sz w:val="17"/>
        </w:rPr>
        <w:t>☐  Record completion, exceptions, owner, and date for every item.</w:t>
      </w:r>
    </w:p>
    <w:tbl>
      <w:tblPr>
        <w:tblStyle w:val="TableGrid"/>
        <w:tblW w:type="auto" w:w="0"/>
        <w:jc w:val="center"/>
        <w:tblLayout w:type="fixed"/>
        <w:tblLook w:firstColumn="1" w:firstRow="1" w:lastColumn="0" w:lastRow="0" w:noHBand="0" w:noVBand="1" w:val="04A0"/>
      </w:tblPr>
      <w:tblGrid>
        <w:gridCol w:w="2056"/>
        <w:gridCol w:w="2056"/>
        <w:gridCol w:w="2056"/>
        <w:gridCol w:w="2056"/>
        <w:gridCol w:w="2056"/>
      </w:tblGrid>
      <w:tr>
        <w:trPr>
          <w:cantSplit/>
          <w:tblHeader w:val="true"/>
        </w:trPr>
        <w:tc>
          <w:tcPr>
            <w:tcW w:type="dxa" w:w="288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Handoff item</w:t>
            </w:r>
          </w:p>
        </w:tc>
        <w:tc>
          <w:tcPr>
            <w:tcW w:type="dxa" w:w="151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Owner</w:t>
            </w:r>
          </w:p>
        </w:tc>
        <w:tc>
          <w:tcPr>
            <w:tcW w:type="dxa" w:w="1152"/>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Due</w:t>
            </w:r>
          </w:p>
        </w:tc>
        <w:tc>
          <w:tcPr>
            <w:tcW w:type="dxa" w:w="864"/>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Done</w:t>
            </w:r>
          </w:p>
        </w:tc>
        <w:tc>
          <w:tcPr>
            <w:tcW w:type="dxa" w:w="3600"/>
            <w:shd w:fill="182033"/>
            <w:tcMar>
              <w:top w:w="100" w:type="dxa"/>
              <w:start w:w="100" w:type="dxa"/>
              <w:bottom w:w="100" w:type="dxa"/>
              <w:end w:w="100" w:type="dxa"/>
            </w:tcMar>
            <w:vAlign w:val="center"/>
          </w:tcPr>
          <w:p>
            <w:pPr>
              <w:spacing w:after="0" w:line="240" w:lineRule="auto"/>
            </w:pPr>
            <w:r/>
            <w:r>
              <w:rPr>
                <w:rFonts w:ascii="Arial" w:hAnsi="Arial" w:eastAsia="Arial"/>
                <w:b/>
                <w:i w:val="0"/>
                <w:color w:val="FFFFFF"/>
                <w:sz w:val="15"/>
              </w:rPr>
              <w:t>Evidence / exception</w:t>
            </w:r>
          </w:p>
        </w:tc>
      </w:tr>
      <w:tr>
        <w:trPr>
          <w:cantSplit/>
        </w:trPr>
        <w:tc>
          <w:tcPr>
            <w:tcW w:type="dxa" w:w="288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Final content and source files</w:t>
            </w:r>
          </w:p>
        </w:tc>
        <w:tc>
          <w:tcPr>
            <w:tcW w:type="dxa" w:w="15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1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8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360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 / NOTE]</w:t>
            </w:r>
          </w:p>
        </w:tc>
      </w:tr>
      <w:tr>
        <w:trPr>
          <w:cantSplit/>
        </w:trPr>
        <w:tc>
          <w:tcPr>
            <w:tcW w:type="dxa" w:w="288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Final report and export</w:t>
            </w:r>
          </w:p>
        </w:tc>
        <w:tc>
          <w:tcPr>
            <w:tcW w:type="dxa" w:w="151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1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86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360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 / NOTE]</w:t>
            </w:r>
          </w:p>
        </w:tc>
      </w:tr>
      <w:tr>
        <w:trPr>
          <w:cantSplit/>
        </w:trPr>
        <w:tc>
          <w:tcPr>
            <w:tcW w:type="dxa" w:w="288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Account ownership confirmed</w:t>
            </w:r>
          </w:p>
        </w:tc>
        <w:tc>
          <w:tcPr>
            <w:tcW w:type="dxa" w:w="15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1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8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360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 / NOTE]</w:t>
            </w:r>
          </w:p>
        </w:tc>
      </w:tr>
      <w:tr>
        <w:trPr>
          <w:cantSplit/>
        </w:trPr>
        <w:tc>
          <w:tcPr>
            <w:tcW w:type="dxa" w:w="288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Provider access removed</w:t>
            </w:r>
          </w:p>
        </w:tc>
        <w:tc>
          <w:tcPr>
            <w:tcW w:type="dxa" w:w="151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152"/>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864"/>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3600"/>
            <w:shd w:fill="F7F8FA"/>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 / NOTE]</w:t>
            </w:r>
          </w:p>
        </w:tc>
      </w:tr>
      <w:tr>
        <w:trPr>
          <w:cantSplit/>
        </w:trPr>
        <w:tc>
          <w:tcPr>
            <w:tcW w:type="dxa" w:w="288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Data returned / deleted</w:t>
            </w:r>
          </w:p>
        </w:tc>
        <w:tc>
          <w:tcPr>
            <w:tcW w:type="dxa" w:w="151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[NAME]</w:t>
            </w:r>
          </w:p>
        </w:tc>
        <w:tc>
          <w:tcPr>
            <w:tcW w:type="dxa" w:w="1152"/>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[DATE]</w:t>
            </w:r>
          </w:p>
        </w:tc>
        <w:tc>
          <w:tcPr>
            <w:tcW w:type="dxa" w:w="864"/>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w:t>
            </w:r>
          </w:p>
        </w:tc>
        <w:tc>
          <w:tcPr>
            <w:tcW w:type="dxa" w:w="3600"/>
            <w:shd w:fill="FFFFFF"/>
            <w:tcMar>
              <w:top w:w="100" w:type="dxa"/>
              <w:start w:w="100" w:type="dxa"/>
              <w:bottom w:w="100" w:type="dxa"/>
              <w:end w:w="100" w:type="dxa"/>
            </w:tcMar>
            <w:vAlign w:val="center"/>
          </w:tcPr>
          <w:p>
            <w:pPr>
              <w:spacing w:after="0" w:line="240" w:lineRule="auto"/>
            </w:pPr>
            <w:r/>
            <w:r>
              <w:rPr>
                <w:rFonts w:ascii="Arial" w:hAnsi="Arial" w:eastAsia="Arial"/>
                <w:b w:val="0"/>
                <w:i w:val="0"/>
                <w:color w:val="182033"/>
                <w:sz w:val="15"/>
              </w:rPr>
              <w:t>[LINK / NOTE]</w:t>
            </w:r>
          </w:p>
        </w:tc>
      </w:tr>
    </w:tbl>
    <w:p>
      <w:pPr>
        <w:spacing w:after="0"/>
      </w:pPr>
    </w:p>
    <w:p>
      <w:pPr>
        <w:spacing w:before="1500"/>
        <w:jc w:val="center"/>
      </w:pPr>
      <w:r>
        <w:rPr>
          <w:rFonts w:ascii="Arial" w:hAnsi="Arial" w:eastAsia="Arial"/>
          <w:b/>
          <w:i w:val="0"/>
          <w:color w:val="182033"/>
          <w:sz w:val="48"/>
        </w:rPr>
        <w:t>Ready for attorney review</w:t>
      </w:r>
    </w:p>
    <w:p>
      <w:pPr>
        <w:jc w:val="center"/>
      </w:pPr>
      <w:r>
        <w:rPr>
          <w:rFonts w:ascii="Arial" w:hAnsi="Arial" w:eastAsia="Arial"/>
          <w:b w:val="0"/>
          <w:i w:val="0"/>
          <w:color w:val="586272"/>
          <w:sz w:val="22"/>
        </w:rPr>
        <w:t>Complete the fields, attach required addenda, and have licensed local counsel tailor the final agreement.</w:t>
      </w:r>
    </w:p>
    <w:tbl>
      <w:tblPr>
        <w:tblW w:type="auto" w:w="0"/>
        <w:tblLayout w:type="fixed"/>
        <w:tblLook w:firstColumn="1" w:firstRow="1" w:lastColumn="0" w:lastRow="0" w:noHBand="0" w:noVBand="1" w:val="04A0"/>
      </w:tblPr>
      <w:tblGrid>
        <w:gridCol w:w="10282"/>
      </w:tblGrid>
      <w:tr>
        <w:tc>
          <w:tcPr>
            <w:tcW w:type="dxa" w:w="10282"/>
            <w:shd w:fill="FFF4D6"/>
            <w:tcMar>
              <w:top w:w="150" w:type="dxa"/>
              <w:start w:w="150" w:type="dxa"/>
              <w:bottom w:w="150" w:type="dxa"/>
              <w:end w:w="150" w:type="dxa"/>
            </w:tcMar>
          </w:tcPr>
          <w:p>
            <w:pPr>
              <w:spacing w:after="60"/>
            </w:pPr>
            <w:r>
              <w:rPr>
                <w:rFonts w:ascii="Arial" w:hAnsi="Arial" w:eastAsia="Arial"/>
                <w:b/>
                <w:i w:val="0"/>
                <w:color w:val="7216A8"/>
                <w:sz w:val="16"/>
              </w:rPr>
              <w:t>REFERENCE ONLY</w:t>
            </w:r>
          </w:p>
          <w:p>
            <w:pPr>
              <w:spacing w:after="0"/>
            </w:pPr>
            <w:r>
              <w:rPr>
                <w:rFonts w:ascii="Arial" w:hAnsi="Arial" w:eastAsia="Arial"/>
                <w:b w:val="0"/>
                <w:i w:val="0"/>
                <w:color w:val="182033"/>
                <w:sz w:val="17"/>
              </w:rPr>
              <w:t>This template cannot evaluate your jurisdiction, services, insurance, privacy duties, worker classification, intellectual property, taxes, regulated clients, or desired risk allocation. A copied clause is not a substitute for legal review.</w:t>
            </w:r>
          </w:p>
        </w:tc>
      </w:tr>
    </w:tbl>
    <w:p>
      <w:pPr>
        <w:spacing w:after="0"/>
      </w:pPr>
    </w:p>
    <w:p>
      <w:pPr>
        <w:spacing w:before="440"/>
        <w:jc w:val="center"/>
      </w:pPr>
      <w:r>
        <w:rPr>
          <w:rFonts w:ascii="Arial" w:hAnsi="Arial" w:eastAsia="Arial"/>
          <w:b/>
          <w:i w:val="0"/>
          <w:color w:val="7216A8"/>
          <w:sz w:val="17"/>
        </w:rPr>
        <w:t>apaya.com  •  Content production, approval, scheduling, and reporting</w:t>
      </w:r>
    </w:p>
    <w:sectPr w:rsidR="00FC693F" w:rsidRPr="0006063C" w:rsidSect="00034616">
      <w:headerReference w:type="default" r:id="rId9"/>
      <w:footerReference w:type="default" r:id="rId10"/>
      <w:pgSz w:w="12240" w:h="15840"/>
      <w:pgMar w:top="893" w:right="979" w:bottom="835" w:left="979" w:header="346"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i w:val="0"/>
        <w:color w:val="586272"/>
        <w:sz w:val="14"/>
      </w:rPr>
      <w:t xml:space="preserve">APAYA  •  TEMPLATE  •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eastAsia="Arial"/>
        <w:b/>
        <w:i w:val="0"/>
        <w:color w:val="586272"/>
        <w:sz w:val="14"/>
      </w:rPr>
      <w:t>APAYA   /   SOCIAL MEDIA SERVICES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eastAsia="Arial"/>
      <w:color w:val="18203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