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</w:pPr>
      <w:r>
        <w:drawing>
          <wp:inline xmlns:a="http://schemas.openxmlformats.org/drawingml/2006/main" xmlns:pic="http://schemas.openxmlformats.org/drawingml/2006/picture">
            <wp:extent cx="1572768" cy="393192"/>
            <wp:docPr id="1" name="Picture 1" descr="Apaya logo" title="Apay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paya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3931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0"/>
      </w:pPr>
      <w:r>
        <w:rPr>
          <w:rFonts w:ascii="Arial" w:hAnsi="Arial" w:eastAsia="Arial"/>
          <w:b/>
          <w:color w:val="AC0FFF"/>
          <w:sz w:val="20"/>
        </w:rPr>
        <w:t>AGENCY ENABLEMENT PACK</w:t>
      </w:r>
    </w:p>
    <w:p>
      <w:pPr>
        <w:pStyle w:val="CoverTitle"/>
      </w:pPr>
      <w:r>
        <w:t>Social Media Client</w:t>
        <w:br/>
        <w:t>Onboarding Workbook</w:t>
      </w:r>
    </w:p>
    <w:p>
      <w:pPr>
        <w:spacing w:after="400" w:line="276" w:lineRule="auto"/>
      </w:pPr>
      <w:r>
        <w:rPr>
          <w:rFonts w:ascii="Arial" w:hAnsi="Arial" w:eastAsia="Arial"/>
          <w:color w:val="64748B"/>
          <w:sz w:val="27"/>
        </w:rPr>
        <w:t>A practical packet for intake, kickoff, access, approvals, measurement, handoff, and offboarding.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Purpose: </w:t>
      </w:r>
      <w:r>
        <w:rPr>
          <w:rFonts w:ascii="Calibri" w:hAnsi="Calibri" w:eastAsia="Calibri"/>
          <w:color w:val="334155"/>
          <w:sz w:val="19"/>
        </w:rPr>
        <w:t>Turn a sales handoff into a workable client operating system. Keep strategy, source material, access, approvals, and reporting aligned from day one.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00"/>
        <w:gridCol w:w="3180"/>
        <w:gridCol w:w="1500"/>
        <w:gridCol w:w="3180"/>
      </w:tblGrid>
      <w:tr>
        <w:trPr>
          <w:cantSplit/>
        </w:trPr>
        <w:tc>
          <w:tcPr>
            <w:tcW w:type="dxa" w:w="15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7"/>
              </w:rPr>
              <w:t>Prepared for</w:t>
            </w:r>
          </w:p>
        </w:tc>
        <w:tc>
          <w:tcPr>
            <w:tcW w:type="dxa" w:w="318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7"/>
              </w:rPr>
              <w:t>Enter client / brand</w:t>
            </w:r>
          </w:p>
        </w:tc>
        <w:tc>
          <w:tcPr>
            <w:tcW w:type="dxa" w:w="15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7"/>
              </w:rPr>
              <w:t>Agency lead</w:t>
            </w:r>
          </w:p>
        </w:tc>
        <w:tc>
          <w:tcPr>
            <w:tcW w:type="dxa" w:w="318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7"/>
              </w:rPr>
              <w:t>Enter name</w:t>
            </w:r>
          </w:p>
        </w:tc>
      </w:tr>
      <w:tr>
        <w:trPr>
          <w:cantSplit/>
        </w:trPr>
        <w:tc>
          <w:tcPr>
            <w:tcW w:type="dxa" w:w="15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7"/>
              </w:rPr>
              <w:t>Kickoff date</w:t>
            </w:r>
          </w:p>
        </w:tc>
        <w:tc>
          <w:tcPr>
            <w:tcW w:type="dxa" w:w="318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7"/>
              </w:rPr>
              <w:t>Enter date</w:t>
            </w:r>
          </w:p>
        </w:tc>
        <w:tc>
          <w:tcPr>
            <w:tcW w:type="dxa" w:w="15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7"/>
              </w:rPr>
              <w:t>First publish target</w:t>
            </w:r>
          </w:p>
        </w:tc>
        <w:tc>
          <w:tcPr>
            <w:tcW w:type="dxa" w:w="318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7"/>
              </w:rPr>
              <w:t>Enter date</w:t>
            </w:r>
          </w:p>
        </w:tc>
      </w:tr>
    </w:tbl>
    <w:p>
      <w:pPr>
        <w:spacing w:before="720" w:after="0"/>
      </w:pPr>
      <w:r>
        <w:rPr>
          <w:rFonts w:ascii="Arial" w:hAnsi="Arial" w:eastAsia="Arial"/>
          <w:i/>
          <w:color w:val="64748B"/>
          <w:sz w:val="19"/>
        </w:rPr>
        <w:t>Designed for agencies managing one client or an entire roster. Product-neutral, permission-safe, and ready to adapt to the client contract.</w:t>
      </w:r>
    </w:p>
    <w:p>
      <w:r>
        <w:br w:type="page"/>
      </w:r>
    </w:p>
    <w:p>
      <w:pPr>
        <w:pStyle w:val="Heading1"/>
        <w:keepNext/>
      </w:pPr>
      <w:r>
        <w:t>1. How to use this workbook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Complete the short intake first. Use the workshop for decisions that require discussion. Do not send a 70-question form and call it onboarding.</w:t>
      </w:r>
    </w:p>
    <w:p>
      <w:pPr>
        <w:pStyle w:val="Heading2"/>
        <w:keepNext/>
      </w:pPr>
      <w:r>
        <w:t>Four steps</w:t>
      </w:r>
    </w:p>
    <w:p>
      <w:pPr>
        <w:numPr>
          <w:ilvl w:val="0"/>
          <w:numId w:val="11"/>
        </w:numPr>
      </w:pPr>
      <w:r>
        <w:rPr>
          <w:rFonts w:ascii="Calibri" w:hAnsi="Calibri" w:eastAsia="Calibri"/>
          <w:color w:val="334155"/>
        </w:rPr>
        <w:t>Collect the essentials needed to schedule the workshop.</w:t>
      </w:r>
    </w:p>
    <w:p>
      <w:pPr>
        <w:numPr>
          <w:ilvl w:val="0"/>
          <w:numId w:val="11"/>
        </w:numPr>
      </w:pPr>
      <w:r>
        <w:rPr>
          <w:rFonts w:ascii="Calibri" w:hAnsi="Calibri" w:eastAsia="Calibri"/>
          <w:color w:val="334155"/>
        </w:rPr>
        <w:t>Run the agency-led workshop and make the choices together.</w:t>
      </w:r>
    </w:p>
    <w:p>
      <w:pPr>
        <w:numPr>
          <w:ilvl w:val="0"/>
          <w:numId w:val="11"/>
        </w:numPr>
      </w:pPr>
      <w:r>
        <w:rPr>
          <w:rFonts w:ascii="Calibri" w:hAnsi="Calibri" w:eastAsia="Calibri"/>
          <w:color w:val="334155"/>
        </w:rPr>
        <w:t>Request access and source material only after scope and ownership are clear.</w:t>
      </w:r>
    </w:p>
    <w:p>
      <w:pPr>
        <w:numPr>
          <w:ilvl w:val="0"/>
          <w:numId w:val="11"/>
        </w:numPr>
      </w:pPr>
      <w:r>
        <w:rPr>
          <w:rFonts w:ascii="Calibri" w:hAnsi="Calibri" w:eastAsia="Calibri"/>
          <w:color w:val="334155"/>
        </w:rPr>
        <w:t>Record the operating agreement, test the workflow, and close open items before production starts.</w:t>
      </w:r>
    </w:p>
    <w:p>
      <w:pPr>
        <w:pStyle w:val="Heading2"/>
        <w:keepNext/>
      </w:pPr>
      <w:r>
        <w:t>First-pass intake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Client / brand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Enter legal name and public-facing brand name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Website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Enter primary website and any campaign landing page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Main contact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Name, role, email, time zone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Decision maker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 and role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Day-to-day approver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Name, role, backup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Agency lead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Name, role, backup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Contract start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Enter date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First publish target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Enter date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73" w:right="115"/>
        <w:shd w:fill="FFF6E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Stop condition: </w:t>
      </w:r>
      <w:r>
        <w:rPr>
          <w:rFonts w:ascii="Calibri" w:hAnsi="Calibri" w:eastAsia="Calibri"/>
          <w:color w:val="334155"/>
          <w:sz w:val="19"/>
        </w:rPr>
        <w:t>If nobody can name the final approver, the first content deadline is not ready to be promised.</w:t>
      </w:r>
    </w:p>
    <w:p>
      <w:r>
        <w:br w:type="page"/>
      </w:r>
    </w:p>
    <w:p>
      <w:pPr>
        <w:pStyle w:val="Heading1"/>
        <w:keepNext/>
      </w:pPr>
      <w:r>
        <w:t>2. Essential client intake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Keep this short enough that a client will complete it. Resolve ambiguity in the workshop rather than adding more fields.</w:t>
      </w:r>
    </w:p>
    <w:p>
      <w:pPr>
        <w:pStyle w:val="Heading2"/>
        <w:keepNext/>
      </w:pPr>
      <w:r>
        <w:t>Business and campaign context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Primary offer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What can the audience buy, book, visit, join, or believe?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Priority audience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Who matters most during the first 30 days?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Key dates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Launches, events, promotions, closures, embargoes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No-go topics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Claims, subjects, competitors, visuals, or language to avoid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Choose the primary job of organic social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Maintain trust and visible proof that the company is active.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Support sales with current proof, expertise, and shareable assets.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Capture demand through profile actions and tracked routes to offers.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Support recruiting and employer credibility.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Route customer questions to the right owner.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Supply message and creative concepts that paid media can test.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Channels in scope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List only contracted channels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Channels out of scope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 exclusions to prevent silent expansion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Cadence and formats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Posts, carousels, short video, stories, articles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Other owners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Community, paid media, influencers, PR, recruiting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3. Agency-led onboarding workshop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Use the session to make decisions, not to read the intake form aloud. Recommended working time: 75 minutes.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12"/>
        <w:gridCol w:w="2448"/>
        <w:gridCol w:w="5400"/>
      </w:tblGrid>
      <w:tr>
        <w:trPr>
          <w:tblHeader w:val="true"/>
          <w:cantSplit/>
        </w:trPr>
        <w:tc>
          <w:tcPr>
            <w:tcW w:type="dxa" w:w="1512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Time</w:t>
            </w:r>
          </w:p>
        </w:tc>
        <w:tc>
          <w:tcPr>
            <w:tcW w:type="dxa" w:w="2448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Working block</w:t>
            </w:r>
          </w:p>
        </w:tc>
        <w:tc>
          <w:tcPr>
            <w:tcW w:type="dxa" w:w="5400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Output</w:t>
            </w:r>
          </w:p>
        </w:tc>
      </w:tr>
      <w:tr>
        <w:trPr>
          <w:cantSplit/>
        </w:trPr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0-10 min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Context and constraints</w:t>
            </w:r>
          </w:p>
        </w:tc>
        <w:tc>
          <w:tcPr>
            <w:tcW w:type="dxa" w:w="54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Confirm scope, dates, stakeholders, and anything that can block launch.</w:t>
            </w:r>
          </w:p>
        </w:tc>
      </w:tr>
      <w:tr>
        <w:trPr>
          <w:cantSplit/>
        </w:trPr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10-25 min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Business goal and social role</w:t>
            </w:r>
          </w:p>
        </w:tc>
        <w:tc>
          <w:tcPr>
            <w:tcW w:type="dxa" w:w="54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Choose the primary and secondary job of organic social.</w:t>
            </w:r>
          </w:p>
        </w:tc>
      </w:tr>
      <w:tr>
        <w:trPr>
          <w:cantSplit/>
        </w:trPr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25-40 min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Audience and proof</w:t>
            </w:r>
          </w:p>
        </w:tc>
        <w:tc>
          <w:tcPr>
            <w:tcW w:type="dxa" w:w="54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Define what the audience should believe, why, and which evidence supports it.</w:t>
            </w:r>
          </w:p>
        </w:tc>
      </w:tr>
      <w:tr>
        <w:trPr>
          <w:cantSplit/>
        </w:trPr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40-55 min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Content system</w:t>
            </w:r>
          </w:p>
        </w:tc>
        <w:tc>
          <w:tcPr>
            <w:tcW w:type="dxa" w:w="54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Agree themes, formats, sources, recurring series, and exclusions.</w:t>
            </w:r>
          </w:p>
        </w:tc>
      </w:tr>
      <w:tr>
        <w:trPr>
          <w:cantSplit/>
        </w:trPr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55-67 min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Approval and communication</w:t>
            </w:r>
          </w:p>
        </w:tc>
        <w:tc>
          <w:tcPr>
            <w:tcW w:type="dxa" w:w="54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Name owners, review windows, escalation, and the source of truth.</w:t>
            </w:r>
          </w:p>
        </w:tc>
      </w:tr>
      <w:tr>
        <w:trPr>
          <w:cantSplit/>
        </w:trPr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67-75 min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First 30 days</w:t>
            </w:r>
          </w:p>
        </w:tc>
        <w:tc>
          <w:tcPr>
            <w:tcW w:type="dxa" w:w="54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Confirm decisions, owners, deadlines, and the first publish gate.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Workshop prompts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What should a qualified prospect understand after seeing three posts?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Which proof can we publish without waiting for a new case study?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What would make a post risky, off-brand, or misleading?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Where does organic social hand off to sales, service, recruiting, paid, or PR?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Which decision must be made today to protect the first publish date?</w:t>
      </w:r>
    </w:p>
    <w:p>
      <w:pPr>
        <w:spacing w:before="80" w:after="40"/>
      </w:pPr>
      <w:r>
        <w:rPr>
          <w:rFonts w:ascii="Calibri" w:hAnsi="Calibri" w:eastAsia="Calibri"/>
          <w:b/>
          <w:color w:val="480076"/>
          <w:sz w:val="19"/>
        </w:rPr>
        <w:t>Decisions made in the workshop</w:t>
      </w:r>
    </w:p>
    <w:p>
      <w:pPr>
        <w:spacing w:after="120" w:line="288" w:lineRule="auto"/>
        <w:ind w:left="115"/>
        <w:shd w:fill="FFF6EF"/>
      </w:pPr>
      <w:r>
        <w:rPr>
          <w:rFonts w:ascii="Calibri" w:hAnsi="Calibri" w:eastAsia="Calibri"/>
          <w:i/>
          <w:color w:val="64748B"/>
          <w:sz w:val="18"/>
        </w:rPr>
        <w:t>Enter notes</w:t>
      </w:r>
      <w:r>
        <w:rPr>
          <w:rFonts w:ascii="Calibri" w:hAnsi="Calibri" w:eastAsia="Calibri"/>
          <w:i/>
          <w:color w:val="64748B"/>
          <w:sz w:val="18"/>
        </w:rPr>
        <w:br/>
      </w:r>
    </w:p>
    <w:p>
      <w:r>
        <w:br w:type="page"/>
      </w:r>
    </w:p>
    <w:p>
      <w:pPr>
        <w:pStyle w:val="Heading1"/>
        <w:keepNext/>
      </w:pPr>
      <w:r>
        <w:t>4. Goal-to-measurement map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For many brands, organic social is better treated as trust and activity infrastructure than as a guaranteed reach engine. Reach and follower growth are useful diagnostics, not automatic business outcomes.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2880"/>
        <w:gridCol w:w="2520"/>
        <w:gridCol w:w="2160"/>
      </w:tblGrid>
      <w:tr>
        <w:trPr>
          <w:tblHeader w:val="true"/>
          <w:cantSplit/>
        </w:trPr>
        <w:tc>
          <w:tcPr>
            <w:tcW w:type="dxa" w:w="1800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Organic social role</w:t>
            </w:r>
          </w:p>
        </w:tc>
        <w:tc>
          <w:tcPr>
            <w:tcW w:type="dxa" w:w="2880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Practical job</w:t>
            </w:r>
          </w:p>
        </w:tc>
        <w:tc>
          <w:tcPr>
            <w:tcW w:type="dxa" w:w="2520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Measures to watch</w:t>
            </w:r>
          </w:p>
        </w:tc>
        <w:tc>
          <w:tcPr>
            <w:tcW w:type="dxa" w:w="2160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Guardrail</w:t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Trust and active presence</w:t>
            </w:r>
          </w:p>
        </w:tc>
        <w:tc>
          <w:tcPr>
            <w:tcW w:type="dxa" w:w="28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Show current expertise, offers, people, proof, and signs of life.</w:t>
            </w:r>
          </w:p>
        </w:tc>
        <w:tc>
          <w:tcPr>
            <w:tcW w:type="dxa" w:w="252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Publishing reliability; profile completeness; stakeholder feedback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Keep content current and credible.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Sales enablement</w:t>
            </w:r>
          </w:p>
        </w:tc>
        <w:tc>
          <w:tcPr>
            <w:tcW w:type="dxa" w:w="28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Give sales teams useful proof and shareable explanations.</w:t>
            </w:r>
          </w:p>
        </w:tc>
        <w:tc>
          <w:tcPr>
            <w:tcW w:type="dxa" w:w="252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Asset adoption; tracked profile clicks; assisted conversations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Agree CRM or UTM limits before reporting.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Demand capture</w:t>
            </w:r>
          </w:p>
        </w:tc>
        <w:tc>
          <w:tcPr>
            <w:tcW w:type="dxa" w:w="28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Create clear routes from profiles and posts to relevant offers.</w:t>
            </w:r>
          </w:p>
        </w:tc>
        <w:tc>
          <w:tcPr>
            <w:tcW w:type="dxa" w:w="252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Profile actions; landing-page sessions; assisted conversions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Do not claim last-click causation without evidence.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Customer care</w:t>
            </w:r>
          </w:p>
        </w:tc>
        <w:tc>
          <w:tcPr>
            <w:tcW w:type="dxa" w:w="28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Route recurring questions and service issues to an accountable owner.</w:t>
            </w:r>
          </w:p>
        </w:tc>
        <w:tc>
          <w:tcPr>
            <w:tcW w:type="dxa" w:w="252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Ownership coverage; handoff time; repeated question themes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Only if community management is in scope.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Recruiting</w:t>
            </w:r>
          </w:p>
        </w:tc>
        <w:tc>
          <w:tcPr>
            <w:tcW w:type="dxa" w:w="28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Build employer proof for candidates and employees.</w:t>
            </w:r>
          </w:p>
        </w:tc>
        <w:tc>
          <w:tcPr>
            <w:tcW w:type="dxa" w:w="252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Careers-page actions; qualified applicants; employee participation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Coordinate with recruiting.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Paid creative support</w:t>
            </w:r>
          </w:p>
        </w:tc>
        <w:tc>
          <w:tcPr>
            <w:tcW w:type="dxa" w:w="28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Build a reusable message and creative concept library.</w:t>
            </w:r>
          </w:p>
        </w:tc>
        <w:tc>
          <w:tcPr>
            <w:tcW w:type="dxa" w:w="252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Concepts produced; reuse rate; paid-test learning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Paid results belong to the paid owner.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Relationship building</w:t>
            </w:r>
          </w:p>
        </w:tc>
        <w:tc>
          <w:tcPr>
            <w:tcW w:type="dxa" w:w="28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Stay visible with partners, customers, peers, and target accounts.</w:t>
            </w:r>
          </w:p>
        </w:tc>
        <w:tc>
          <w:tcPr>
            <w:tcW w:type="dxa" w:w="252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Qualified interactions; partner participation; direct feedback</w:t>
            </w:r>
          </w:p>
        </w:tc>
        <w:tc>
          <w:tcPr>
            <w:tcW w:type="dxa" w:w="216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Favor relevance over raw engagement.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Primary role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Choose one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Secondary role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Choose one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Measurement owner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 and system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5. Access matrix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Request role-based access. Never ask a client to email passwords, recovery codes, or shared administrator credentials.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944"/>
        <w:gridCol w:w="1224"/>
        <w:gridCol w:w="2952"/>
        <w:gridCol w:w="2376"/>
        <w:gridCol w:w="864"/>
      </w:tblGrid>
      <w:tr>
        <w:trPr>
          <w:tblHeader w:val="true"/>
          <w:cantSplit/>
        </w:trPr>
        <w:tc>
          <w:tcPr>
            <w:tcW w:type="dxa" w:w="194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System</w:t>
            </w:r>
          </w:p>
        </w:tc>
        <w:tc>
          <w:tcPr>
            <w:tcW w:type="dxa" w:w="122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Client owner</w:t>
            </w:r>
          </w:p>
        </w:tc>
        <w:tc>
          <w:tcPr>
            <w:tcW w:type="dxa" w:w="2952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Permission path</w:t>
            </w:r>
          </w:p>
        </w:tc>
        <w:tc>
          <w:tcPr>
            <w:tcW w:type="dxa" w:w="237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Agency needs</w:t>
            </w:r>
          </w:p>
        </w:tc>
        <w:tc>
          <w:tcPr>
            <w:tcW w:type="dxa" w:w="86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Verified</w:t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Meta Business Portfolio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Partner access or assigned Page / Instagram assets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Content or admin as scoped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LinkedIn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Page role; Campaign Manager only if paid is in scope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Content admin or scoped role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X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Delegate access; Ads access only if paid is in scope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Contributor or scoped role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TikTok Business Center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Partner/member assignment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Content or advertiser as scoped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YouTube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Channel permissions through Brand Account / Studio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Editor or scoped role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Pinterest Business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Business access; ads only if scoped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Employee / partner role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Google Business Profile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Manager access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Manager if local posting is scoped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GA4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Property access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Viewer or analyst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Google Tag Manager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Container access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Read or edit only if tracking is scoped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Search Console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Property access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Restricted or full as needed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Social production / scheduler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Agreed owner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Workspace invitation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Role matching contract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Shared asset folder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Named folder or DAM collection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View or contribute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CRM</w:t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Client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Report/dashboard access only when required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  <w:t>Least privilege</w:t>
            </w:r>
          </w:p>
        </w:tc>
        <w:tc>
          <w:tcPr>
            <w:tcW w:type="dxa" w:w="86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4"/>
              </w:rPr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73" w:right="115"/>
        <w:shd w:fill="FFF6E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Verification: </w:t>
      </w:r>
      <w:r>
        <w:rPr>
          <w:rFonts w:ascii="Calibri" w:hAnsi="Calibri" w:eastAsia="Calibri"/>
          <w:color w:val="334155"/>
          <w:sz w:val="19"/>
        </w:rPr>
        <w:t>Test access while the client is present when possible. Record who granted it, the role, the date, and any expiry.</w:t>
      </w:r>
    </w:p>
    <w:p>
      <w:r>
        <w:br w:type="page"/>
      </w:r>
    </w:p>
    <w:p>
      <w:pPr>
        <w:pStyle w:val="Heading1"/>
        <w:keepNext/>
      </w:pPr>
      <w:r>
        <w:t>6. Source pack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Every recurring claim, offer, visual, and brand rule needs a source of truth. Ask for links and owners, not a pile of unlabeled attachments.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944"/>
        <w:gridCol w:w="4536"/>
        <w:gridCol w:w="1224"/>
        <w:gridCol w:w="1656"/>
      </w:tblGrid>
      <w:tr>
        <w:trPr>
          <w:tblHeader w:val="true"/>
          <w:cantSplit/>
        </w:trPr>
        <w:tc>
          <w:tcPr>
            <w:tcW w:type="dxa" w:w="194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Source group</w:t>
            </w:r>
          </w:p>
        </w:tc>
        <w:tc>
          <w:tcPr>
            <w:tcW w:type="dxa" w:w="453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Required material</w:t>
            </w:r>
          </w:p>
        </w:tc>
        <w:tc>
          <w:tcPr>
            <w:tcW w:type="dxa" w:w="122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65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Link / status</w:t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Brand foundation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Voice, audience, positioning, terms, prohibited language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Visual identity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Current logos, colors, fonts, templates, image rules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Approved examples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Posts, ads, sales material, or pages that sound right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Offers and pricing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Current product/service details, qualifiers, dates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Proof and claims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Evidence, research, product documentation, approved language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Customer proof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Testimonials, case studies, permissions, release status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Rights and licenses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Photo, video, music, creator, employee, and location rights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Campaign calendar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Launches, events, promotions, blackout dates, embargoes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Content history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Recent posts, reports, lessons, repeated objections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Policies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Legal, privacy, accessibility, industry, crisis, security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Reporting baseline</w:t>
            </w:r>
          </w:p>
        </w:tc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Current KPIs, dashboards, attribution limits, definitions</w:t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Canonical source location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Folder, DAM, knowledge base, or portal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Source-pack owner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 and backup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Review / expiry cadence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When must facts, offers, and rights be rechecked?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7. Welcome checklist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Use this as the account lead's pre-kickoff gate. Items that do not apply should be marked N/A with a reason.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5544"/>
        <w:gridCol w:w="1512"/>
        <w:gridCol w:w="1080"/>
        <w:gridCol w:w="1224"/>
      </w:tblGrid>
      <w:tr>
        <w:trPr>
          <w:tblHeader w:val="true"/>
          <w:cantSplit/>
        </w:trPr>
        <w:tc>
          <w:tcPr>
            <w:tcW w:type="dxa" w:w="554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Welcome item</w:t>
            </w:r>
          </w:p>
        </w:tc>
        <w:tc>
          <w:tcPr>
            <w:tcW w:type="dxa" w:w="1512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080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Due</w:t>
            </w:r>
          </w:p>
        </w:tc>
        <w:tc>
          <w:tcPr>
            <w:tcW w:type="dxa" w:w="122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Contract and scope available to delivery team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Agency lead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Welcome email sent with named contacts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Account lead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Client portal or shared workspace created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Operations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Essential intake returned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Client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Agency-led workshop booked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Account lead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Source-pack request sent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Strategist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Access requests mapped to scope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Operations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Approver and backup identified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Client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Communication channel and cadence agreed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Both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First content milestone scheduled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Production lead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Reporting baseline and owner identified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Reporting lead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54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Known risks and escalation owner logged</w:t>
            </w:r>
          </w:p>
        </w:tc>
        <w:tc>
          <w:tcPr>
            <w:tcW w:type="dxa" w:w="151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Account lead</w:t>
            </w:r>
          </w:p>
        </w:tc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22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What the client receives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Named agency team and clear responsibilities.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Kickoff agenda and preparation request.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Access instructions based on least privilege.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First 30-day plan with dates and decision gates.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Approval and communication agreement for sign-off.</w:t>
      </w:r>
    </w:p>
    <w:p>
      <w:r>
        <w:br w:type="page"/>
      </w:r>
    </w:p>
    <w:p>
      <w:pPr>
        <w:pStyle w:val="Heading1"/>
        <w:keepNext/>
      </w:pPr>
      <w:r>
        <w:t>8. Kickoff agenda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The kickoff confirms how the engagement will run. The workshop produces the strategic and operational decisions.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080"/>
        <w:gridCol w:w="3816"/>
        <w:gridCol w:w="1656"/>
        <w:gridCol w:w="2808"/>
      </w:tblGrid>
      <w:tr>
        <w:trPr>
          <w:tblHeader w:val="true"/>
          <w:cantSplit/>
        </w:trPr>
        <w:tc>
          <w:tcPr>
            <w:tcW w:type="dxa" w:w="1080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Minutes</w:t>
            </w:r>
          </w:p>
        </w:tc>
        <w:tc>
          <w:tcPr>
            <w:tcW w:type="dxa" w:w="381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Topic</w:t>
            </w:r>
          </w:p>
        </w:tc>
        <w:tc>
          <w:tcPr>
            <w:tcW w:type="dxa" w:w="165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Lead</w:t>
            </w:r>
          </w:p>
        </w:tc>
        <w:tc>
          <w:tcPr>
            <w:tcW w:type="dxa" w:w="2808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Decision / output</w:t>
            </w:r>
          </w:p>
        </w:tc>
      </w:tr>
      <w:tr>
        <w:trPr>
          <w:cantSplit/>
        </w:trPr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0-5</w:t>
            </w:r>
          </w:p>
        </w:tc>
        <w:tc>
          <w:tcPr>
            <w:tcW w:type="dxa" w:w="381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Introductions and decision authority</w:t>
            </w:r>
          </w:p>
        </w:tc>
        <w:tc>
          <w:tcPr>
            <w:tcW w:type="dxa" w:w="165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Everyone</w:t>
            </w:r>
          </w:p>
        </w:tc>
        <w:tc>
          <w:tcPr>
            <w:tcW w:type="dxa" w:w="28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Named owner and approver</w:t>
            </w:r>
          </w:p>
        </w:tc>
      </w:tr>
      <w:tr>
        <w:trPr>
          <w:cantSplit/>
        </w:trPr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5-15</w:t>
            </w:r>
          </w:p>
        </w:tc>
        <w:tc>
          <w:tcPr>
            <w:tcW w:type="dxa" w:w="381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Scope, exclusions, dates, dependencies</w:t>
            </w:r>
          </w:p>
        </w:tc>
        <w:tc>
          <w:tcPr>
            <w:tcW w:type="dxa" w:w="165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Agency lead</w:t>
            </w:r>
          </w:p>
        </w:tc>
        <w:tc>
          <w:tcPr>
            <w:tcW w:type="dxa" w:w="28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Confirmed boundary</w:t>
            </w:r>
          </w:p>
        </w:tc>
      </w:tr>
      <w:tr>
        <w:trPr>
          <w:cantSplit/>
        </w:trPr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15-28</w:t>
            </w:r>
          </w:p>
        </w:tc>
        <w:tc>
          <w:tcPr>
            <w:tcW w:type="dxa" w:w="381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Organic social role and goal map</w:t>
            </w:r>
          </w:p>
        </w:tc>
        <w:tc>
          <w:tcPr>
            <w:tcW w:type="dxa" w:w="165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Strategist</w:t>
            </w:r>
          </w:p>
        </w:tc>
        <w:tc>
          <w:tcPr>
            <w:tcW w:type="dxa" w:w="28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Primary role and measures</w:t>
            </w:r>
          </w:p>
        </w:tc>
      </w:tr>
      <w:tr>
        <w:trPr>
          <w:cantSplit/>
        </w:trPr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28-38</w:t>
            </w:r>
          </w:p>
        </w:tc>
        <w:tc>
          <w:tcPr>
            <w:tcW w:type="dxa" w:w="381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Source pack and access</w:t>
            </w:r>
          </w:p>
        </w:tc>
        <w:tc>
          <w:tcPr>
            <w:tcW w:type="dxa" w:w="165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Operations</w:t>
            </w:r>
          </w:p>
        </w:tc>
        <w:tc>
          <w:tcPr>
            <w:tcW w:type="dxa" w:w="28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Owners and due dates</w:t>
            </w:r>
          </w:p>
        </w:tc>
      </w:tr>
      <w:tr>
        <w:trPr>
          <w:cantSplit/>
        </w:trPr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38-48</w:t>
            </w:r>
          </w:p>
        </w:tc>
        <w:tc>
          <w:tcPr>
            <w:tcW w:type="dxa" w:w="381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Content, approval, and escalation</w:t>
            </w:r>
          </w:p>
        </w:tc>
        <w:tc>
          <w:tcPr>
            <w:tcW w:type="dxa" w:w="165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Production lead</w:t>
            </w:r>
          </w:p>
        </w:tc>
        <w:tc>
          <w:tcPr>
            <w:tcW w:type="dxa" w:w="28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Recorded workflow</w:t>
            </w:r>
          </w:p>
        </w:tc>
      </w:tr>
      <w:tr>
        <w:trPr>
          <w:cantSplit/>
        </w:trPr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48-56</w:t>
            </w:r>
          </w:p>
        </w:tc>
        <w:tc>
          <w:tcPr>
            <w:tcW w:type="dxa" w:w="381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First 30-day plan</w:t>
            </w:r>
          </w:p>
        </w:tc>
        <w:tc>
          <w:tcPr>
            <w:tcW w:type="dxa" w:w="165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Account lead</w:t>
            </w:r>
          </w:p>
        </w:tc>
        <w:tc>
          <w:tcPr>
            <w:tcW w:type="dxa" w:w="28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Decision gates</w:t>
            </w:r>
          </w:p>
        </w:tc>
      </w:tr>
      <w:tr>
        <w:trPr>
          <w:cantSplit/>
        </w:trPr>
        <w:tc>
          <w:tcPr>
            <w:tcW w:type="dxa" w:w="1080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56-60</w:t>
            </w:r>
          </w:p>
        </w:tc>
        <w:tc>
          <w:tcPr>
            <w:tcW w:type="dxa" w:w="381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Read back decisions and next actions</w:t>
            </w:r>
          </w:p>
        </w:tc>
        <w:tc>
          <w:tcPr>
            <w:tcW w:type="dxa" w:w="165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Agency lead</w:t>
            </w:r>
          </w:p>
        </w:tc>
        <w:tc>
          <w:tcPr>
            <w:tcW w:type="dxa" w:w="28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No ambiguous owners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Decision log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4536"/>
        <w:gridCol w:w="1656"/>
        <w:gridCol w:w="1224"/>
        <w:gridCol w:w="1944"/>
      </w:tblGrid>
      <w:tr>
        <w:trPr>
          <w:tblHeader w:val="true"/>
          <w:cantSplit/>
        </w:trPr>
        <w:tc>
          <w:tcPr>
            <w:tcW w:type="dxa" w:w="453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Decision</w:t>
            </w:r>
          </w:p>
        </w:tc>
        <w:tc>
          <w:tcPr>
            <w:tcW w:type="dxa" w:w="165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22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Due</w:t>
            </w:r>
          </w:p>
        </w:tc>
        <w:tc>
          <w:tcPr>
            <w:tcW w:type="dxa" w:w="194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Where recorded</w:t>
            </w:r>
          </w:p>
        </w:tc>
      </w:tr>
      <w:tr>
        <w:trPr>
          <w:cantSplit/>
        </w:trPr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</w:tr>
      <w:tr>
        <w:trPr>
          <w:cantSplit/>
        </w:trPr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</w:tr>
      <w:tr>
        <w:trPr>
          <w:cantSplit/>
        </w:trPr>
        <w:tc>
          <w:tcPr>
            <w:tcW w:type="dxa" w:w="453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22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944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Close: </w:t>
      </w:r>
      <w:r>
        <w:rPr>
          <w:rFonts w:ascii="Calibri" w:hAnsi="Calibri" w:eastAsia="Calibri"/>
          <w:color w:val="334155"/>
          <w:sz w:val="19"/>
        </w:rPr>
        <w:t>End by reading back every owner and date. Send the written decision log after the meeting.</w:t>
      </w:r>
    </w:p>
    <w:p>
      <w:r>
        <w:br w:type="page"/>
      </w:r>
    </w:p>
    <w:p>
      <w:pPr>
        <w:pStyle w:val="Heading1"/>
        <w:keepNext/>
      </w:pPr>
      <w:r>
        <w:t>9. First 30 days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The first month should prove the operating system before the agency scales volume.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296"/>
        <w:gridCol w:w="3384"/>
        <w:gridCol w:w="2376"/>
        <w:gridCol w:w="2304"/>
      </w:tblGrid>
      <w:tr>
        <w:trPr>
          <w:tblHeader w:val="true"/>
          <w:cantSplit/>
        </w:trPr>
        <w:tc>
          <w:tcPr>
            <w:tcW w:type="dxa" w:w="129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Window</w:t>
            </w:r>
          </w:p>
        </w:tc>
        <w:tc>
          <w:tcPr>
            <w:tcW w:type="dxa" w:w="338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Agency output</w:t>
            </w:r>
          </w:p>
        </w:tc>
        <w:tc>
          <w:tcPr>
            <w:tcW w:type="dxa" w:w="237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Client input</w:t>
            </w:r>
          </w:p>
        </w:tc>
        <w:tc>
          <w:tcPr>
            <w:tcW w:type="dxa" w:w="2304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Exit check</w:t>
            </w:r>
          </w:p>
        </w:tc>
      </w:tr>
      <w:tr>
        <w:trPr>
          <w:cantSplit/>
        </w:trPr>
        <w:tc>
          <w:tcPr>
            <w:tcW w:type="dxa" w:w="129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Days 0-3</w:t>
            </w:r>
          </w:p>
        </w:tc>
        <w:tc>
          <w:tcPr>
            <w:tcW w:type="dxa" w:w="338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Confirm scope, goals, approvers, source pack, and access requests.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Return intake; assign owners; grant safe access.</w:t>
            </w:r>
          </w:p>
        </w:tc>
        <w:tc>
          <w:tcPr>
            <w:tcW w:type="dxa" w:w="230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No unnamed approver or critical source gap.</w:t>
            </w:r>
          </w:p>
        </w:tc>
      </w:tr>
      <w:tr>
        <w:trPr>
          <w:cantSplit/>
        </w:trPr>
        <w:tc>
          <w:tcPr>
            <w:tcW w:type="dxa" w:w="129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Days 4-10</w:t>
            </w:r>
          </w:p>
        </w:tc>
        <w:tc>
          <w:tcPr>
            <w:tcW w:type="dxa" w:w="338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Build brand/content framework; draft themes; prepare sample set.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Review assumptions and high-risk claims.</w:t>
            </w:r>
          </w:p>
        </w:tc>
        <w:tc>
          <w:tcPr>
            <w:tcW w:type="dxa" w:w="230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Strategy and factual basis accepted.</w:t>
            </w:r>
          </w:p>
        </w:tc>
      </w:tr>
      <w:tr>
        <w:trPr>
          <w:cantSplit/>
        </w:trPr>
        <w:tc>
          <w:tcPr>
            <w:tcW w:type="dxa" w:w="129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Days 11-20</w:t>
            </w:r>
          </w:p>
        </w:tc>
        <w:tc>
          <w:tcPr>
            <w:tcW w:type="dxa" w:w="338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Produce first batch; run accessibility, rights, and evidence checks.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Review through agreed workflow.</w:t>
            </w:r>
          </w:p>
        </w:tc>
        <w:tc>
          <w:tcPr>
            <w:tcW w:type="dxa" w:w="230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Approval test completed and conditions logged.</w:t>
            </w:r>
          </w:p>
        </w:tc>
      </w:tr>
      <w:tr>
        <w:trPr>
          <w:cantSplit/>
        </w:trPr>
        <w:tc>
          <w:tcPr>
            <w:tcW w:type="dxa" w:w="129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Days 21-30</w:t>
            </w:r>
          </w:p>
        </w:tc>
        <w:tc>
          <w:tcPr>
            <w:tcW w:type="dxa" w:w="338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Publish/schedule; validate tracking; document lessons; prepare baseline report.</w:t>
            </w:r>
          </w:p>
        </w:tc>
        <w:tc>
          <w:tcPr>
            <w:tcW w:type="dxa" w:w="23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Confirm measurement notes and next cycle.</w:t>
            </w:r>
          </w:p>
        </w:tc>
        <w:tc>
          <w:tcPr>
            <w:tcW w:type="dxa" w:w="2304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Repeatable monthly workflow ready.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Decision gates</w:t>
      </w:r>
    </w:p>
    <w:p>
      <w:pPr>
        <w:numPr>
          <w:ilvl w:val="0"/>
          <w:numId w:val="12"/>
        </w:numPr>
      </w:pPr>
      <w:r>
        <w:rPr>
          <w:rFonts w:ascii="Calibri" w:hAnsi="Calibri" w:eastAsia="Calibri"/>
          <w:color w:val="334155"/>
        </w:rPr>
        <w:t>Gate 1: Scope, owners, and access path are confirmed.</w:t>
      </w:r>
    </w:p>
    <w:p>
      <w:pPr>
        <w:numPr>
          <w:ilvl w:val="0"/>
          <w:numId w:val="12"/>
        </w:numPr>
      </w:pPr>
      <w:r>
        <w:rPr>
          <w:rFonts w:ascii="Calibri" w:hAnsi="Calibri" w:eastAsia="Calibri"/>
          <w:color w:val="334155"/>
        </w:rPr>
        <w:t>Gate 2: Brand and content assumptions are accepted.</w:t>
      </w:r>
    </w:p>
    <w:p>
      <w:pPr>
        <w:numPr>
          <w:ilvl w:val="0"/>
          <w:numId w:val="12"/>
        </w:numPr>
      </w:pPr>
      <w:r>
        <w:rPr>
          <w:rFonts w:ascii="Calibri" w:hAnsi="Calibri" w:eastAsia="Calibri"/>
          <w:color w:val="334155"/>
        </w:rPr>
        <w:t>Gate 3: The approval path works with a real sample.</w:t>
      </w:r>
    </w:p>
    <w:p>
      <w:pPr>
        <w:numPr>
          <w:ilvl w:val="0"/>
          <w:numId w:val="12"/>
        </w:numPr>
      </w:pPr>
      <w:r>
        <w:rPr>
          <w:rFonts w:ascii="Calibri" w:hAnsi="Calibri" w:eastAsia="Calibri"/>
          <w:color w:val="334155"/>
        </w:rPr>
        <w:t>Gate 4: Publishing and reporting definitions are documented.</w:t>
      </w:r>
    </w:p>
    <w:p>
      <w:pPr>
        <w:spacing w:before="80" w:after="40"/>
      </w:pPr>
      <w:r>
        <w:rPr>
          <w:rFonts w:ascii="Calibri" w:hAnsi="Calibri" w:eastAsia="Calibri"/>
          <w:b/>
          <w:color w:val="480076"/>
          <w:sz w:val="19"/>
        </w:rPr>
        <w:t>Risks or dependencies that can move the first publish date</w:t>
      </w:r>
    </w:p>
    <w:p>
      <w:pPr>
        <w:spacing w:after="120" w:line="288" w:lineRule="auto"/>
        <w:ind w:left="115"/>
        <w:shd w:fill="FFF6EF"/>
      </w:pPr>
      <w:r>
        <w:rPr>
          <w:rFonts w:ascii="Calibri" w:hAnsi="Calibri" w:eastAsia="Calibri"/>
          <w:i/>
          <w:color w:val="64748B"/>
          <w:sz w:val="18"/>
        </w:rPr>
        <w:t>Enter notes</w:t>
      </w:r>
      <w:r>
        <w:rPr>
          <w:rFonts w:ascii="Calibri" w:hAnsi="Calibri" w:eastAsia="Calibri"/>
          <w:i/>
          <w:color w:val="64748B"/>
          <w:sz w:val="18"/>
        </w:rPr>
        <w:br/>
      </w:r>
    </w:p>
    <w:p>
      <w:r>
        <w:br w:type="page"/>
      </w:r>
    </w:p>
    <w:p>
      <w:pPr>
        <w:pStyle w:val="Heading1"/>
        <w:keepNext/>
      </w:pPr>
      <w:r>
        <w:t>10. Approval agreement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Record who reviews, who decides, what must travel with an asset, and what happens when a deadline is missed.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Agency reviewer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Name, role, backup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Client approver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Name, role, backup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Specialist reviewers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Legal, compliance, product, HR, privacy, accessibility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Standard review window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Business hours or days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High-risk review window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Client policy or named SLA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Approval system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Where the final decision is recorded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Workflow rules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One named approver records the final decision.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Claims, sources, rights, and accessibility status travel with the asset.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Conditional approval names the required change and verification owner.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Silence is not approval. Missed deadlines follow the escalation path.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A material change to claim, offer, asset, date, or context reopens review.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Emergency publishing follows the client's incident plan.</w:t>
      </w:r>
    </w:p>
    <w:p>
      <w:pPr>
        <w:spacing w:before="80" w:after="40"/>
      </w:pPr>
      <w:r>
        <w:rPr>
          <w:rFonts w:ascii="Calibri" w:hAnsi="Calibri" w:eastAsia="Calibri"/>
          <w:b/>
          <w:color w:val="480076"/>
          <w:sz w:val="19"/>
        </w:rPr>
        <w:t>Approval exceptions and regulated-content requirements</w:t>
      </w:r>
    </w:p>
    <w:p>
      <w:pPr>
        <w:spacing w:after="120" w:line="288" w:lineRule="auto"/>
        <w:ind w:left="115"/>
        <w:shd w:fill="FFF6EF"/>
      </w:pPr>
      <w:r>
        <w:rPr>
          <w:rFonts w:ascii="Calibri" w:hAnsi="Calibri" w:eastAsia="Calibri"/>
          <w:i/>
          <w:color w:val="64748B"/>
          <w:sz w:val="18"/>
        </w:rPr>
        <w:t>Enter notes</w:t>
      </w:r>
      <w:r>
        <w:rPr>
          <w:rFonts w:ascii="Calibri" w:hAnsi="Calibri" w:eastAsia="Calibri"/>
          <w:i/>
          <w:color w:val="64748B"/>
          <w:sz w:val="18"/>
        </w:rPr>
        <w:br/>
      </w:r>
    </w:p>
    <w:p>
      <w:r>
        <w:br w:type="page"/>
      </w:r>
    </w:p>
    <w:p>
      <w:pPr>
        <w:pStyle w:val="Heading1"/>
        <w:keepNext/>
      </w:pPr>
      <w:r>
        <w:t>11. Communication agreement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Separate discussion from decisions. Use one documented source of truth for tasks, approvals, source material, and reporting.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088"/>
        <w:gridCol w:w="3240"/>
        <w:gridCol w:w="1656"/>
        <w:gridCol w:w="2376"/>
      </w:tblGrid>
      <w:tr>
        <w:trPr>
          <w:tblHeader w:val="true"/>
          <w:cantSplit/>
        </w:trPr>
        <w:tc>
          <w:tcPr>
            <w:tcW w:type="dxa" w:w="2088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Event</w:t>
            </w:r>
          </w:p>
        </w:tc>
        <w:tc>
          <w:tcPr>
            <w:tcW w:type="dxa" w:w="3240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Channel / system</w:t>
            </w:r>
          </w:p>
        </w:tc>
        <w:tc>
          <w:tcPr>
            <w:tcW w:type="dxa" w:w="165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237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Expected response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Routine questions</w:t>
            </w:r>
          </w:p>
        </w:tc>
        <w:tc>
          <w:tcPr>
            <w:tcW w:type="dxa" w:w="324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237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Content discussion</w:t>
            </w:r>
          </w:p>
        </w:tc>
        <w:tc>
          <w:tcPr>
            <w:tcW w:type="dxa" w:w="324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237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Final approvals</w:t>
            </w:r>
          </w:p>
        </w:tc>
        <w:tc>
          <w:tcPr>
            <w:tcW w:type="dxa" w:w="324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237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Urgent escalation</w:t>
            </w:r>
          </w:p>
        </w:tc>
        <w:tc>
          <w:tcPr>
            <w:tcW w:type="dxa" w:w="324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237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Source material</w:t>
            </w:r>
          </w:p>
        </w:tc>
        <w:tc>
          <w:tcPr>
            <w:tcW w:type="dxa" w:w="324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237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  <w:t>Reports and decisions</w:t>
            </w:r>
          </w:p>
        </w:tc>
        <w:tc>
          <w:tcPr>
            <w:tcW w:type="dxa" w:w="324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  <w:tc>
          <w:tcPr>
            <w:tcW w:type="dxa" w:w="237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7"/>
              </w:rPr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Meeting cadence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Weekly, biweekly, monthly, QBR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Primary time zone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Include working hours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Escalation ladder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Name, channel, when to use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BF3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/>
                <w:i w:val="0"/>
                <w:color w:val="480076"/>
                <w:sz w:val="18"/>
              </w:rPr>
              <w:t>Decision-log owner</w:t>
            </w:r>
          </w:p>
        </w:tc>
        <w:tc>
          <w:tcPr>
            <w:tcW w:type="dxa" w:w="666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</w:pPr>
            <w:r/>
            <w:r>
              <w:rPr>
                <w:rFonts w:ascii="Calibri" w:hAnsi="Calibri" w:eastAsia="Calibri"/>
                <w:b w:val="0"/>
                <w:i/>
                <w:color w:val="64748B"/>
                <w:sz w:val="18"/>
              </w:rPr>
              <w:t>Who sends and maintains the record?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Communication guardrails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Do not treat a direct message or verbal comment as final approval unless it is logged.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Consolidate conflicting feedback before returning it to production.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color w:val="334155"/>
        </w:rPr>
        <w:t>Label urgent work by consequence, not by who asked loudest.</w:t>
      </w:r>
    </w:p>
    <w:p>
      <w:r>
        <w:br w:type="page"/>
      </w:r>
    </w:p>
    <w:p>
      <w:pPr>
        <w:pStyle w:val="Heading1"/>
        <w:keepNext/>
      </w:pPr>
      <w:r>
        <w:t>12. Definition of complete and internal handoff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Onboarding is complete when the team can produce, review, publish, and report without relying on unwritten context.</w:t>
      </w:r>
    </w:p>
    <w:p>
      <w:pPr>
        <w:pStyle w:val="Heading2"/>
        <w:keepNext/>
      </w:pPr>
      <w:r>
        <w:t>Definition of complete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Contract scope and exclusions are available to delivery.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Primary and secondary organic social roles are recorded.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Goals, measures, ownership, and attribution limits are recorded.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Source pack has canonical links, owners, and review dates.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Role-based access is verified without shared passwords.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A real content sample has passed the approval workflow.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Communication, escalation, and decision-log systems are agreed.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The first 30-day plan has owners, dates, and decision gates.</w:t>
      </w:r>
    </w:p>
    <w:p>
      <w:pPr>
        <w:numPr>
          <w:ilvl w:val="0"/>
          <w:numId w:val="13"/>
        </w:numPr>
      </w:pPr>
      <w:r>
        <w:rPr>
          <w:rFonts w:ascii="Calibri" w:hAnsi="Calibri" w:eastAsia="Calibri"/>
          <w:color w:val="334155"/>
        </w:rPr>
        <w:t>Open risks are accepted, assigned, or blocking launch.</w:t>
      </w:r>
    </w:p>
    <w:p>
      <w:pPr>
        <w:pStyle w:val="Heading2"/>
        <w:keepNext/>
      </w:pPr>
      <w:r>
        <w:t>Internal handoff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728"/>
        <w:gridCol w:w="5328"/>
        <w:gridCol w:w="1152"/>
        <w:gridCol w:w="1152"/>
      </w:tblGrid>
      <w:tr>
        <w:trPr>
          <w:tblHeader w:val="true"/>
          <w:cantSplit/>
        </w:trPr>
        <w:tc>
          <w:tcPr>
            <w:tcW w:type="dxa" w:w="1728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Team</w:t>
            </w:r>
          </w:p>
        </w:tc>
        <w:tc>
          <w:tcPr>
            <w:tcW w:type="dxa" w:w="5328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Handoff package</w:t>
            </w:r>
          </w:p>
        </w:tc>
        <w:tc>
          <w:tcPr>
            <w:tcW w:type="dxa" w:w="1152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152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Done</w:t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Sales / partnerships</w:t>
            </w:r>
          </w:p>
        </w:tc>
        <w:tc>
          <w:tcPr>
            <w:tcW w:type="dxa" w:w="53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Scope, promises, commercial context, unresolved expectations</w:t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Account lead</w:t>
            </w:r>
          </w:p>
        </w:tc>
        <w:tc>
          <w:tcPr>
            <w:tcW w:type="dxa" w:w="53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Contacts, cadence, risks, escalation, decision log</w:t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Strategy</w:t>
            </w:r>
          </w:p>
        </w:tc>
        <w:tc>
          <w:tcPr>
            <w:tcW w:type="dxa" w:w="53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Social role, audience, themes, proof, measurement map</w:t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Production</w:t>
            </w:r>
          </w:p>
        </w:tc>
        <w:tc>
          <w:tcPr>
            <w:tcW w:type="dxa" w:w="53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Sources, templates, content rules, deadlines, review path</w:t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Reporting</w:t>
            </w:r>
          </w:p>
        </w:tc>
        <w:tc>
          <w:tcPr>
            <w:tcW w:type="dxa" w:w="53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Baseline, definitions, links, attribution limits, cadence</w:t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Paid / community / PR</w:t>
            </w:r>
          </w:p>
        </w:tc>
        <w:tc>
          <w:tcPr>
            <w:tcW w:type="dxa" w:w="532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  <w:t>Handoffs and exclusions where these functions intersect</w:t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  <w:tc>
          <w:tcPr>
            <w:tcW w:type="dxa" w:w="1152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5"/>
              </w:rPr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13. Offboarding and access removal</w:t>
      </w: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Use this page: </w:t>
      </w:r>
      <w:r>
        <w:rPr>
          <w:rFonts w:ascii="Calibri" w:hAnsi="Calibri" w:eastAsia="Calibri"/>
          <w:color w:val="334155"/>
          <w:sz w:val="19"/>
        </w:rPr>
        <w:t>Plan offboarding during onboarding. The client should retain ownership, continuity, and a clear record of what changes when the engagement ends.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5976"/>
        <w:gridCol w:w="1368"/>
        <w:gridCol w:w="1008"/>
        <w:gridCol w:w="1008"/>
      </w:tblGrid>
      <w:tr>
        <w:trPr>
          <w:tblHeader w:val="true"/>
          <w:cantSplit/>
        </w:trPr>
        <w:tc>
          <w:tcPr>
            <w:tcW w:type="dxa" w:w="597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Offboarding action</w:t>
            </w:r>
          </w:p>
        </w:tc>
        <w:tc>
          <w:tcPr>
            <w:tcW w:type="dxa" w:w="1368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008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Due</w:t>
            </w:r>
          </w:p>
        </w:tc>
        <w:tc>
          <w:tcPr>
            <w:tcW w:type="dxa" w:w="1008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Complete</w:t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Confirm end date, final scope, and transition owner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Both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Export approved content, calendars, reports, and decision history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Agency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Return or transfer editable assets and source files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Agency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Document scheduled posts and publishing dependencies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Agency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Remove agency users, partners, tokens, and integrations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Client / agency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Rotate any credentials exposed outside role-based access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Client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Confirm data retention, deletion, and archive obligations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Both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Deliver final measurement notes and known attribution limits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Agency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Record outstanding rights, claims, expiries, or compliance issues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Agency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5976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Obtain written completion acknowledgment</w:t>
            </w:r>
          </w:p>
        </w:tc>
        <w:tc>
          <w:tcPr>
            <w:tcW w:type="dxa" w:w="136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  <w:t>Both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Access and asset register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880"/>
        <w:gridCol w:w="1728"/>
        <w:gridCol w:w="1656"/>
        <w:gridCol w:w="3096"/>
      </w:tblGrid>
      <w:tr>
        <w:trPr>
          <w:tblHeader w:val="true"/>
          <w:cantSplit/>
        </w:trPr>
        <w:tc>
          <w:tcPr>
            <w:tcW w:type="dxa" w:w="2880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System / asset</w:t>
            </w:r>
          </w:p>
        </w:tc>
        <w:tc>
          <w:tcPr>
            <w:tcW w:type="dxa" w:w="1728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Final owner</w:t>
            </w:r>
          </w:p>
        </w:tc>
        <w:tc>
          <w:tcPr>
            <w:tcW w:type="dxa" w:w="165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Agency removed</w:t>
            </w:r>
          </w:p>
        </w:tc>
        <w:tc>
          <w:tcPr>
            <w:tcW w:type="dxa" w:w="3096"/>
            <w:vAlign w:val="center"/>
            <w:shd w:fill="480076"/>
            <w:tcBorders>
              <w:top w:val="single" w:sz="4" w:color="69079C"/>
              <w:left w:val="single" w:sz="4" w:color="69079C"/>
              <w:bottom w:val="single" w:sz="4" w:color="69079C"/>
              <w:right w:val="single" w:sz="4" w:color="69079C"/>
              <w:insideH w:val="single" w:sz="4" w:color="69079C"/>
              <w:insideV w:val="single" w:sz="4" w:color="69079C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Export / archive location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728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309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728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309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728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165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  <w:tc>
          <w:tcPr>
            <w:tcW w:type="dxa" w:w="3096"/>
            <w:vAlign w:val="center"/>
            <w:shd w:fill="FFF6EF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/>
            <w:r>
              <w:rPr>
                <w:rFonts w:ascii="Calibri" w:hAnsi="Calibri" w:eastAsia="Calibri"/>
                <w:b w:val="0"/>
                <w:i w:val="0"/>
                <w:color w:val="334155"/>
                <w:sz w:val="16"/>
              </w:rPr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73" w:right="115"/>
        <w:shd w:fill="FBF3FF"/>
        <w:pBdr>
          <w:left w:val="single" w:sz="18" w:space="8" w:color="AC0FFF"/>
        </w:pBdr>
      </w:pPr>
      <w:r>
        <w:rPr>
          <w:rFonts w:ascii="Calibri" w:hAnsi="Calibri" w:eastAsia="Calibri"/>
          <w:b/>
          <w:color w:val="480076"/>
          <w:sz w:val="19"/>
        </w:rPr>
        <w:t xml:space="preserve">Final check: </w:t>
      </w:r>
      <w:r>
        <w:rPr>
          <w:rFonts w:ascii="Calibri" w:hAnsi="Calibri" w:eastAsia="Calibri"/>
          <w:color w:val="334155"/>
          <w:sz w:val="19"/>
        </w:rPr>
        <w:t>Do not close the account until the client can find the source files, see what is scheduled, and confirm that agency access has been removed.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type="dxa" w:w="0"/>
    </w:tblPr>
    <w:tblGrid>
      <w:gridCol w:w="3120"/>
      <w:gridCol w:w="3120"/>
      <w:gridCol w:w="3120"/>
    </w:tblGrid>
    <w:tr>
      <w:trPr/>
      <w:tc>
        <w:tcPr>
          <w:tcW w:type="dxa" w:w="312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</w:tcPr>
        <w:p>
          <w:pPr>
            <w:jc w:val="left"/>
          </w:pPr>
          <w:r>
            <w:rPr>
              <w:rFonts w:ascii="Arial" w:hAnsi="Arial" w:eastAsia="Arial"/>
              <w:color w:val="64748B"/>
              <w:sz w:val="17"/>
            </w:rPr>
            <w:t>apaya.com</w:t>
          </w:r>
        </w:p>
      </w:tc>
      <w:tc>
        <w:tcPr>
          <w:tcW w:type="dxa" w:w="312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</w:tcPr>
        <w:p>
          <w:pPr>
            <w:jc w:val="center"/>
          </w:pPr>
          <w:r>
            <w:rPr>
              <w:rFonts w:ascii="Arial" w:hAnsi="Arial" w:eastAsia="Arial"/>
              <w:color w:val="64748B"/>
              <w:sz w:val="17"/>
            </w:rPr>
            <w:t>Agency edition</w:t>
          </w:r>
        </w:p>
      </w:tc>
      <w:tc>
        <w:tcPr>
          <w:tcW w:type="dxa" w:w="312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</w:tcPr>
        <w:p>
          <w:pPr>
            <w:jc w:val="right"/>
          </w:pPr>
          <w:r>
            <w:rPr>
              <w:rFonts w:ascii="Arial" w:hAnsi="Arial" w:eastAsia="Arial"/>
              <w:color w:val="64748B"/>
              <w:sz w:val="17"/>
            </w:rPr>
            <w:t xml:space="preserve">Page </w:t>
          </w:r>
          <w:r>
            <w:rPr>
              <w:rFonts w:ascii="Calibri" w:hAnsi="Calibri" w:eastAsia="Calibri"/>
              <w:color w:val="64748B"/>
              <w:sz w:val="17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color w:val="64748B"/>
        <w:sz w:val="16"/>
      </w:rPr>
      <w:t>APAYA   |   AGENCY CLIENT ONBOARDING WORKBOOK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</w:rPr>
    </w:lvl>
  </w:abstractNum>
  <w:num w:numId="12">
    <w:abstractNumId w:val="11"/>
  </w:num>
  <w:abstractNum w:abstractNumId="12">
    <w:multiLevelType w:val="singleLevel"/>
    <w:lvl w:ilvl="0">
      <w:start w:val="1"/>
      <w:numFmt w:val="bullet"/>
      <w:lvlText w:val="☐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DejaVu Sans" w:hAnsi="DejaVu Sans"/>
      </w:r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33415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69079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69079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4800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itle">
    <w:name w:val="Cover Title"/>
    <w:pPr>
      <w:spacing w:before="120" w:after="160" w:line="240" w:lineRule="auto"/>
    </w:pPr>
    <w:rPr>
      <w:rFonts w:ascii="Arial" w:hAnsi="Arial"/>
      <w:b/>
      <w:color w:val="480076"/>
      <w:sz w:val="6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Client Onboarding Workbook</dc:title>
  <dc:subject>Agency-led social media onboarding workbook</dc:subject>
  <dc:creator>Apaya</dc:creator>
  <cp:keywords>preset=compact_reference_guide; first_page_header=customer_pack; overrides=Apaya electric violet, slate, cream</cp:keywords>
  <dc:description>Built with the compact_reference_guide preset and customer_pack first-page pattern. Named overrides: Apaya violet hierarchy, cream response fields, Arial cover title.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